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 w:val="28"/>
          <w:szCs w:val="28"/>
        </w:rPr>
      </w:pPr>
      <w:r>
        <w:rPr>
          <w:rFonts w:hint="eastAsia" w:ascii="仿宋" w:hAnsi="仿宋" w:eastAsia="仿宋"/>
          <w:sz w:val="28"/>
          <w:szCs w:val="28"/>
        </w:rPr>
        <w:t>附件1</w:t>
      </w:r>
    </w:p>
    <w:p>
      <w:pPr>
        <w:jc w:val="center"/>
        <w:rPr>
          <w:rFonts w:ascii="仿宋" w:hAnsi="仿宋" w:eastAsia="仿宋" w:cs="黑体"/>
          <w:sz w:val="28"/>
          <w:szCs w:val="28"/>
        </w:rPr>
      </w:pPr>
      <w:r>
        <w:rPr>
          <w:rFonts w:ascii="仿宋" w:hAnsi="仿宋" w:eastAsia="仿宋"/>
          <w:b/>
          <w:sz w:val="28"/>
          <w:szCs w:val="28"/>
        </w:rPr>
        <w:t>新华保险“上海建桥学院教</w:t>
      </w:r>
      <w:r>
        <w:rPr>
          <w:rFonts w:hint="eastAsia" w:ascii="仿宋" w:hAnsi="仿宋" w:eastAsia="仿宋"/>
          <w:b/>
          <w:sz w:val="28"/>
          <w:szCs w:val="28"/>
        </w:rPr>
        <w:t>职工</w:t>
      </w:r>
      <w:r>
        <w:rPr>
          <w:rFonts w:ascii="仿宋" w:hAnsi="仿宋" w:eastAsia="仿宋"/>
          <w:b/>
          <w:sz w:val="28"/>
          <w:szCs w:val="28"/>
        </w:rPr>
        <w:t>补充医疗保障</w:t>
      </w:r>
      <w:r>
        <w:rPr>
          <w:rFonts w:hint="eastAsia" w:ascii="仿宋" w:hAnsi="仿宋" w:eastAsia="仿宋" w:cs="黑体"/>
          <w:b/>
          <w:sz w:val="28"/>
          <w:szCs w:val="28"/>
        </w:rPr>
        <w:t>方案</w:t>
      </w:r>
      <w:r>
        <w:rPr>
          <w:rFonts w:ascii="仿宋" w:hAnsi="仿宋" w:eastAsia="仿宋"/>
          <w:b/>
          <w:sz w:val="28"/>
          <w:szCs w:val="28"/>
        </w:rPr>
        <w:t>”</w:t>
      </w:r>
    </w:p>
    <w:p>
      <w:pPr>
        <w:rPr>
          <w:rFonts w:ascii="黑体" w:hAnsi="黑体" w:eastAsia="黑体" w:cs="黑体"/>
          <w:szCs w:val="24"/>
        </w:rPr>
      </w:pPr>
    </w:p>
    <w:p>
      <w:pPr>
        <w:rPr>
          <w:rFonts w:ascii="黑体" w:hAnsi="黑体" w:eastAsia="黑体" w:cs="黑体"/>
          <w:szCs w:val="24"/>
        </w:rPr>
      </w:pPr>
      <w:r>
        <w:rPr>
          <w:rFonts w:hint="eastAsia" w:ascii="黑体" w:hAnsi="黑体" w:eastAsia="黑体" w:cs="黑体"/>
          <w:szCs w:val="24"/>
        </w:rPr>
        <w:t>保险期间：2024.4.1-2025.3.31</w:t>
      </w:r>
    </w:p>
    <w:p>
      <w:pPr>
        <w:rPr>
          <w:rFonts w:ascii="黑体" w:hAnsi="黑体" w:eastAsia="黑体" w:cs="黑体"/>
          <w:szCs w:val="24"/>
        </w:rPr>
      </w:pPr>
      <w:r>
        <w:rPr>
          <w:rFonts w:hint="eastAsia" w:ascii="黑体" w:hAnsi="黑体" w:eastAsia="黑体" w:cs="黑体"/>
          <w:szCs w:val="24"/>
        </w:rPr>
        <w:t>参保人员：年满16-65周岁身体健康的在职教工</w:t>
      </w:r>
    </w:p>
    <w:p>
      <w:pPr>
        <w:rPr>
          <w:rFonts w:ascii="黑体" w:hAnsi="黑体" w:eastAsia="黑体" w:cs="黑体"/>
          <w:szCs w:val="24"/>
        </w:rPr>
      </w:pPr>
      <w:r>
        <w:rPr>
          <w:rFonts w:hint="eastAsia" w:ascii="黑体" w:hAnsi="黑体" w:eastAsia="黑体" w:cs="黑体"/>
          <w:szCs w:val="24"/>
        </w:rPr>
        <w:t>保险方案：</w:t>
      </w:r>
    </w:p>
    <w:tbl>
      <w:tblPr>
        <w:tblStyle w:val="8"/>
        <w:tblpPr w:leftFromText="180" w:rightFromText="180" w:vertAnchor="text" w:horzAnchor="page" w:tblpX="2232" w:tblpY="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062"/>
        <w:gridCol w:w="849"/>
        <w:gridCol w:w="1686"/>
        <w:gridCol w:w="1060"/>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Cs w:val="24"/>
              </w:rPr>
            </w:pPr>
            <w:r>
              <w:rPr>
                <w:rFonts w:hint="eastAsia" w:ascii="黑体" w:hAnsi="黑体" w:eastAsia="黑体"/>
                <w:b/>
                <w:bCs/>
                <w:color w:val="000000"/>
                <w:szCs w:val="24"/>
              </w:rPr>
              <w:t>保险计划</w:t>
            </w:r>
          </w:p>
        </w:tc>
        <w:tc>
          <w:tcPr>
            <w:tcW w:w="20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Cs w:val="24"/>
              </w:rPr>
            </w:pPr>
            <w:r>
              <w:rPr>
                <w:rFonts w:hint="eastAsia" w:ascii="黑体" w:hAnsi="黑体" w:eastAsia="黑体"/>
                <w:b/>
                <w:bCs/>
                <w:color w:val="000000"/>
                <w:szCs w:val="24"/>
              </w:rPr>
              <w:t>保险项目</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Cs w:val="24"/>
              </w:rPr>
            </w:pPr>
            <w:r>
              <w:rPr>
                <w:rFonts w:hint="eastAsia" w:ascii="黑体" w:hAnsi="黑体" w:eastAsia="黑体"/>
                <w:b/>
                <w:bCs/>
                <w:color w:val="000000"/>
                <w:szCs w:val="24"/>
              </w:rPr>
              <w:t>免赔额</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Cs w:val="24"/>
              </w:rPr>
            </w:pPr>
            <w:r>
              <w:rPr>
                <w:rFonts w:hint="eastAsia" w:ascii="黑体" w:hAnsi="黑体" w:eastAsia="黑体"/>
                <w:b/>
                <w:bCs/>
                <w:color w:val="000000"/>
                <w:szCs w:val="24"/>
              </w:rPr>
              <w:t>赔付比例</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Cs w:val="24"/>
              </w:rPr>
            </w:pPr>
            <w:r>
              <w:rPr>
                <w:rFonts w:hint="eastAsia" w:ascii="黑体" w:hAnsi="黑体" w:eastAsia="黑体"/>
                <w:b/>
                <w:bCs/>
                <w:color w:val="000000"/>
                <w:szCs w:val="24"/>
              </w:rPr>
              <w:t>保险金额</w:t>
            </w:r>
          </w:p>
        </w:tc>
        <w:tc>
          <w:tcPr>
            <w:tcW w:w="14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Cs w:val="24"/>
              </w:rPr>
            </w:pPr>
            <w:r>
              <w:rPr>
                <w:rFonts w:hint="eastAsia" w:ascii="黑体" w:hAnsi="黑体" w:eastAsia="黑体"/>
                <w:b/>
                <w:bCs/>
                <w:color w:val="000000"/>
                <w:szCs w:val="24"/>
              </w:rPr>
              <w:t>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b/>
                <w:bCs/>
                <w:color w:val="000000"/>
                <w:sz w:val="24"/>
                <w:szCs w:val="19"/>
              </w:rPr>
            </w:pPr>
            <w:r>
              <w:rPr>
                <w:rFonts w:hint="eastAsia" w:ascii="黑体" w:hAnsi="黑体" w:eastAsia="黑体"/>
                <w:b/>
                <w:bCs/>
                <w:color w:val="000000"/>
                <w:sz w:val="24"/>
                <w:szCs w:val="19"/>
              </w:rPr>
              <w:t>A</w:t>
            </w:r>
          </w:p>
          <w:p>
            <w:pPr>
              <w:widowControl/>
              <w:jc w:val="center"/>
              <w:rPr>
                <w:rFonts w:ascii="黑体" w:hAnsi="黑体" w:eastAsia="黑体"/>
                <w:b/>
                <w:bCs/>
                <w:color w:val="000000"/>
                <w:szCs w:val="17"/>
              </w:rPr>
            </w:pPr>
            <w:r>
              <w:rPr>
                <w:rFonts w:hint="eastAsia" w:ascii="黑体" w:hAnsi="黑体" w:eastAsia="黑体"/>
                <w:b/>
                <w:bCs/>
                <w:color w:val="000000"/>
                <w:szCs w:val="17"/>
              </w:rPr>
              <w:t>有医保</w:t>
            </w:r>
          </w:p>
        </w:tc>
        <w:tc>
          <w:tcPr>
            <w:tcW w:w="20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b/>
                <w:bCs/>
                <w:color w:val="000000"/>
                <w:szCs w:val="17"/>
              </w:rPr>
            </w:pPr>
            <w:r>
              <w:rPr>
                <w:rFonts w:hint="eastAsia" w:ascii="黑体" w:hAnsi="黑体" w:eastAsia="黑体"/>
                <w:b/>
                <w:bCs/>
                <w:color w:val="000000"/>
                <w:szCs w:val="17"/>
              </w:rPr>
              <w:t>357意外伤害保险</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0元</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按伤残比例赔付</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50000元</w:t>
            </w:r>
          </w:p>
        </w:tc>
        <w:tc>
          <w:tcPr>
            <w:tcW w:w="147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480元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
                <w:bCs/>
                <w:color w:val="000000"/>
                <w:szCs w:val="17"/>
              </w:rPr>
            </w:pPr>
          </w:p>
        </w:tc>
        <w:tc>
          <w:tcPr>
            <w:tcW w:w="20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b/>
                <w:bCs/>
                <w:color w:val="000000"/>
                <w:szCs w:val="17"/>
              </w:rPr>
            </w:pPr>
            <w:r>
              <w:rPr>
                <w:rFonts w:hint="eastAsia" w:ascii="黑体" w:hAnsi="黑体" w:eastAsia="黑体"/>
                <w:b/>
                <w:bCs/>
                <w:color w:val="000000"/>
                <w:szCs w:val="17"/>
              </w:rPr>
              <w:t>583门急诊医疗保险</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480元</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2000元</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
                <w:bCs/>
                <w:color w:val="000000"/>
                <w:szCs w:val="17"/>
              </w:rPr>
            </w:pPr>
          </w:p>
        </w:tc>
        <w:tc>
          <w:tcPr>
            <w:tcW w:w="20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b/>
                <w:bCs/>
                <w:color w:val="000000"/>
                <w:szCs w:val="17"/>
              </w:rPr>
            </w:pPr>
            <w:r>
              <w:rPr>
                <w:rFonts w:hint="eastAsia" w:ascii="黑体" w:hAnsi="黑体" w:eastAsia="黑体"/>
                <w:b/>
                <w:bCs/>
                <w:color w:val="000000"/>
                <w:szCs w:val="17"/>
              </w:rPr>
              <w:t>759住院医疗保险</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0元</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70%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3000元</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
                <w:bCs/>
                <w:color w:val="000000"/>
                <w:szCs w:val="17"/>
              </w:rPr>
            </w:pPr>
          </w:p>
        </w:tc>
        <w:tc>
          <w:tcPr>
            <w:tcW w:w="20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b/>
                <w:bCs/>
                <w:color w:val="000000"/>
                <w:szCs w:val="17"/>
              </w:rPr>
            </w:pPr>
            <w:r>
              <w:rPr>
                <w:rFonts w:hint="eastAsia" w:ascii="黑体" w:hAnsi="黑体" w:eastAsia="黑体"/>
                <w:b/>
                <w:bCs/>
                <w:color w:val="000000"/>
                <w:szCs w:val="17"/>
              </w:rPr>
              <w:t>866重大疾病保险</w:t>
            </w:r>
          </w:p>
        </w:tc>
        <w:tc>
          <w:tcPr>
            <w:tcW w:w="0" w:type="auto"/>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45种重疾</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50000元</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b/>
                <w:bCs/>
                <w:color w:val="000000"/>
                <w:szCs w:val="17"/>
              </w:rPr>
            </w:pPr>
          </w:p>
        </w:tc>
        <w:tc>
          <w:tcPr>
            <w:tcW w:w="20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b/>
                <w:bCs/>
                <w:color w:val="000000"/>
                <w:szCs w:val="17"/>
              </w:rPr>
            </w:pPr>
            <w:r>
              <w:rPr>
                <w:rFonts w:hint="eastAsia" w:ascii="黑体" w:hAnsi="黑体" w:eastAsia="黑体"/>
                <w:b/>
                <w:bCs/>
                <w:color w:val="000000"/>
                <w:szCs w:val="17"/>
              </w:rPr>
              <w:t>433定期寿险</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0元</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olor w:val="000000"/>
                <w:szCs w:val="19"/>
              </w:rPr>
            </w:pPr>
            <w:r>
              <w:rPr>
                <w:rFonts w:hint="eastAsia" w:ascii="黑体" w:hAnsi="黑体" w:eastAsia="黑体"/>
                <w:color w:val="000000"/>
                <w:szCs w:val="19"/>
              </w:rPr>
              <w:t>20000元</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szCs w:val="19"/>
              </w:rPr>
            </w:pPr>
          </w:p>
        </w:tc>
      </w:tr>
    </w:tbl>
    <w:p>
      <w:pPr>
        <w:spacing w:line="380" w:lineRule="exact"/>
        <w:rPr>
          <w:rFonts w:ascii="黑体" w:hAnsi="黑体" w:eastAsia="黑体" w:cs="黑体"/>
          <w:szCs w:val="21"/>
        </w:rPr>
      </w:pPr>
      <w:r>
        <w:rPr>
          <w:rFonts w:hint="eastAsia" w:ascii="黑体" w:hAnsi="黑体" w:eastAsia="黑体" w:cs="黑体"/>
          <w:szCs w:val="21"/>
        </w:rPr>
        <w:t>备注：</w:t>
      </w:r>
    </w:p>
    <w:p>
      <w:pPr>
        <w:spacing w:line="380" w:lineRule="exact"/>
        <w:rPr>
          <w:rFonts w:ascii="黑体" w:hAnsi="黑体" w:eastAsia="黑体" w:cs="黑体"/>
          <w:szCs w:val="21"/>
        </w:rPr>
      </w:pPr>
      <w:r>
        <w:rPr>
          <w:rFonts w:hint="eastAsia" w:ascii="黑体" w:hAnsi="黑体" w:eastAsia="黑体" w:cs="黑体"/>
          <w:szCs w:val="21"/>
        </w:rPr>
        <w:t xml:space="preserve">    1、凡需办理理赔手续的被保险人需持上海医保卡到指定医院就诊（急诊除外）。</w:t>
      </w:r>
    </w:p>
    <w:p>
      <w:pPr>
        <w:spacing w:line="380" w:lineRule="exact"/>
        <w:rPr>
          <w:rFonts w:ascii="黑体" w:hAnsi="黑体" w:eastAsia="黑体" w:cs="黑体"/>
          <w:color w:val="FF0000"/>
          <w:szCs w:val="21"/>
        </w:rPr>
      </w:pPr>
      <w:r>
        <w:rPr>
          <w:rFonts w:hint="eastAsia" w:ascii="黑体" w:hAnsi="黑体" w:eastAsia="黑体" w:cs="黑体"/>
          <w:color w:val="FF0000"/>
          <w:szCs w:val="21"/>
        </w:rPr>
        <w:t xml:space="preserve">  </w:t>
      </w:r>
      <w:r>
        <w:rPr>
          <w:rFonts w:hint="eastAsia" w:ascii="黑体" w:hAnsi="黑体" w:eastAsia="黑体" w:cs="黑体"/>
          <w:szCs w:val="21"/>
        </w:rPr>
        <w:t xml:space="preserve">  2、开放医院：所有二级以及二级以上公立医院（不包括社区医院、药房、民营医院）。</w:t>
      </w:r>
    </w:p>
    <w:p>
      <w:pPr>
        <w:spacing w:line="380" w:lineRule="exact"/>
        <w:rPr>
          <w:rFonts w:ascii="黑体" w:hAnsi="黑体" w:eastAsia="黑体" w:cs="黑体"/>
          <w:szCs w:val="21"/>
        </w:rPr>
      </w:pPr>
      <w:r>
        <w:rPr>
          <w:rFonts w:hint="eastAsia" w:ascii="黑体" w:hAnsi="黑体" w:eastAsia="黑体" w:cs="黑体"/>
          <w:szCs w:val="21"/>
        </w:rPr>
        <w:t xml:space="preserve">    3、承担既往症（含重大疾病及严重慢性病）人员的门急诊、住院医疗责任，但因既往已患大病及其并发症引起的重大疾病、疾病身故保险责任除外。</w:t>
      </w:r>
    </w:p>
    <w:p>
      <w:pPr>
        <w:spacing w:line="380" w:lineRule="exact"/>
        <w:ind w:firstLine="420" w:firstLineChars="200"/>
        <w:rPr>
          <w:rFonts w:ascii="黑体" w:hAnsi="黑体" w:eastAsia="黑体" w:cs="黑体"/>
          <w:szCs w:val="21"/>
        </w:rPr>
      </w:pPr>
      <w:r>
        <w:rPr>
          <w:rFonts w:hint="eastAsia" w:ascii="黑体" w:hAnsi="黑体" w:eastAsia="黑体" w:cs="黑体"/>
          <w:szCs w:val="21"/>
        </w:rPr>
        <w:t>4、取消重疾866、定寿433等待期但新进人员除外。</w:t>
      </w:r>
    </w:p>
    <w:p>
      <w:pPr>
        <w:spacing w:line="380" w:lineRule="exact"/>
        <w:ind w:firstLine="420" w:firstLineChars="200"/>
        <w:rPr>
          <w:rFonts w:ascii="黑体" w:hAnsi="黑体" w:eastAsia="黑体" w:cs="黑体"/>
          <w:szCs w:val="21"/>
        </w:rPr>
      </w:pPr>
      <w:r>
        <w:rPr>
          <w:rFonts w:hint="eastAsia" w:ascii="黑体" w:hAnsi="黑体" w:eastAsia="黑体" w:cs="黑体"/>
          <w:szCs w:val="21"/>
        </w:rPr>
        <w:t>5、不承担挂号费（含诊疗费）的理赔报销。</w:t>
      </w:r>
    </w:p>
    <w:p>
      <w:pPr>
        <w:spacing w:line="380" w:lineRule="exact"/>
        <w:ind w:firstLine="420" w:firstLineChars="200"/>
        <w:rPr>
          <w:rFonts w:ascii="黑体" w:hAnsi="黑体" w:eastAsia="黑体" w:cs="黑体"/>
          <w:szCs w:val="21"/>
        </w:rPr>
      </w:pPr>
      <w:r>
        <w:rPr>
          <w:rFonts w:hint="eastAsia" w:ascii="黑体" w:hAnsi="黑体" w:eastAsia="黑体" w:cs="黑体"/>
          <w:szCs w:val="21"/>
        </w:rPr>
        <w:t>6、对于齿科类的报销仅承担治疗性的牙周炎、牙龈炎等齿科炎症产生的理赔报销。不承担拔牙、补牙的医疗理赔责任。</w:t>
      </w:r>
    </w:p>
    <w:p>
      <w:pPr>
        <w:spacing w:line="380" w:lineRule="exact"/>
        <w:ind w:firstLine="420" w:firstLineChars="200"/>
        <w:rPr>
          <w:rFonts w:ascii="黑体" w:hAnsi="黑体" w:eastAsia="黑体" w:cs="黑体"/>
          <w:szCs w:val="21"/>
        </w:rPr>
      </w:pPr>
      <w:r>
        <w:rPr>
          <w:rFonts w:hint="eastAsia" w:ascii="黑体" w:hAnsi="黑体" w:eastAsia="黑体" w:cs="黑体"/>
          <w:szCs w:val="21"/>
        </w:rPr>
        <w:t>7、发票上“个人账户支付”和“个人自负”项的费用在病历审核无误的情况下可以纳入核算，其余项目不属于核算范围。</w:t>
      </w:r>
    </w:p>
    <w:p>
      <w:pPr>
        <w:spacing w:line="380" w:lineRule="exact"/>
        <w:ind w:firstLine="420" w:firstLineChars="200"/>
        <w:rPr>
          <w:rFonts w:ascii="黑体" w:hAnsi="黑体" w:eastAsia="黑体" w:cs="黑体"/>
          <w:szCs w:val="21"/>
        </w:rPr>
      </w:pPr>
      <w:r>
        <w:rPr>
          <w:rFonts w:hint="eastAsia" w:ascii="黑体" w:hAnsi="黑体" w:eastAsia="黑体" w:cs="黑体"/>
          <w:szCs w:val="21"/>
        </w:rPr>
        <w:t>8、参保外地医保的人员参保，需在发票经过医保结算后才能申请（外地医保可按规定在国家医保异地就医备案小程序上进行备案后在上海市对应医院正常使用外地医保卡就诊）.</w:t>
      </w:r>
    </w:p>
    <w:p>
      <w:pPr>
        <w:widowControl/>
        <w:jc w:val="left"/>
        <w:rPr>
          <w:rFonts w:ascii="Times New Roman" w:hAnsi="Times New Roman" w:eastAsia="仿宋_GB2312"/>
          <w:sz w:val="32"/>
          <w:szCs w:val="32"/>
        </w:rPr>
      </w:pPr>
    </w:p>
    <w:p>
      <w:pPr>
        <w:widowControl/>
        <w:jc w:val="left"/>
        <w:rPr>
          <w:rFonts w:ascii="Times New Roman" w:hAnsi="Times New Roman" w:eastAsia="仿宋_GB2312"/>
          <w:sz w:val="32"/>
          <w:szCs w:val="32"/>
        </w:rPr>
      </w:pPr>
    </w:p>
    <w:p>
      <w:pPr>
        <w:widowControl/>
        <w:rPr>
          <w:rFonts w:ascii="宋体" w:hAnsi="宋体"/>
          <w:sz w:val="24"/>
          <w:szCs w:val="24"/>
        </w:rPr>
      </w:pPr>
      <w:bookmarkStart w:id="0" w:name="_GoBack"/>
      <w:bookmarkEnd w:id="0"/>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hint="eastAsia" w:ascii="Times New Roman" w:hAnsi="Times New Roman"/>
        <w:sz w:val="28"/>
        <w:szCs w:val="28"/>
        <w:lang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eastAsia="zh-CN"/>
      </w:rPr>
      <w:t>3</w:t>
    </w:r>
    <w:r>
      <w:rPr>
        <w:rFonts w:ascii="Times New Roman" w:hAnsi="Times New Roman"/>
        <w:sz w:val="28"/>
        <w:szCs w:val="28"/>
      </w:rPr>
      <w:fldChar w:fldCharType="end"/>
    </w:r>
    <w:r>
      <w:rPr>
        <w:rFonts w:ascii="Times New Roman" w:hAnsi="Times New Roman"/>
        <w:sz w:val="28"/>
        <w:szCs w:val="28"/>
      </w:rPr>
      <w:t xml:space="preserve"> </w:t>
    </w:r>
    <w:r>
      <w:rPr>
        <w:rFonts w:hint="eastAsia" w:ascii="Times New Roman" w:hAnsi="Times New Roman"/>
        <w:sz w:val="28"/>
        <w:szCs w:val="28"/>
        <w:lang w:eastAsia="zh-CN"/>
      </w:rPr>
      <w:t>—</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sz w:val="28"/>
        <w:szCs w:val="28"/>
        <w:lang w:val="zh-CN" w:eastAsia="zh-CN"/>
      </w:rPr>
    </w:pPr>
    <w:r>
      <w:rPr>
        <w:rFonts w:hint="eastAsia" w:ascii="Times New Roman" w:hAnsi="Times New Roman"/>
        <w:sz w:val="28"/>
        <w:szCs w:val="28"/>
        <w:lang w:val="zh-CN" w:eastAsia="zh-CN"/>
      </w:rPr>
      <w:t xml:space="preserve">— </w:t>
    </w:r>
    <w:r>
      <w:rPr>
        <w:rFonts w:ascii="Times New Roman" w:hAnsi="Times New Roman"/>
        <w:sz w:val="28"/>
        <w:szCs w:val="28"/>
        <w:lang w:val="zh-CN" w:eastAsia="zh-CN"/>
      </w:rPr>
      <w:fldChar w:fldCharType="begin"/>
    </w:r>
    <w:r>
      <w:rPr>
        <w:rFonts w:ascii="Times New Roman" w:hAnsi="Times New Roman"/>
        <w:sz w:val="28"/>
        <w:szCs w:val="28"/>
        <w:lang w:val="zh-CN" w:eastAsia="zh-CN"/>
      </w:rPr>
      <w:instrText xml:space="preserve">PAGE   \* MERGEFORMAT</w:instrText>
    </w:r>
    <w:r>
      <w:rPr>
        <w:rFonts w:ascii="Times New Roman" w:hAnsi="Times New Roman"/>
        <w:sz w:val="28"/>
        <w:szCs w:val="28"/>
        <w:lang w:val="zh-CN" w:eastAsia="zh-CN"/>
      </w:rPr>
      <w:fldChar w:fldCharType="separate"/>
    </w:r>
    <w:r>
      <w:rPr>
        <w:rFonts w:ascii="Times New Roman" w:hAnsi="Times New Roman"/>
        <w:sz w:val="28"/>
        <w:szCs w:val="28"/>
        <w:lang w:val="zh-CN" w:eastAsia="zh-CN"/>
      </w:rPr>
      <w:t>2</w:t>
    </w:r>
    <w:r>
      <w:rPr>
        <w:rFonts w:ascii="Times New Roman" w:hAnsi="Times New Roman"/>
        <w:sz w:val="28"/>
        <w:szCs w:val="28"/>
        <w:lang w:val="zh-CN" w:eastAsia="zh-CN"/>
      </w:rPr>
      <w:fldChar w:fldCharType="end"/>
    </w:r>
    <w:r>
      <w:rPr>
        <w:rFonts w:ascii="Times New Roman" w:hAnsi="Times New Roman"/>
        <w:sz w:val="28"/>
        <w:szCs w:val="28"/>
        <w:lang w:val="zh-CN" w:eastAsia="zh-CN"/>
      </w:rPr>
      <w:t xml:space="preserve"> </w:t>
    </w:r>
    <w:r>
      <w:rPr>
        <w:rFonts w:hint="eastAsia" w:ascii="Times New Roman" w:hAnsi="Times New Roman"/>
        <w:sz w:val="28"/>
        <w:szCs w:val="28"/>
        <w:lang w:val="zh-CN" w:eastAsia="zh-CN"/>
      </w:rPr>
      <w:t>—</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MmNiY2Q3MGI5YWU5OTc3ODk0MWI3Y2ZhNDNjZGQifQ=="/>
  </w:docVars>
  <w:rsids>
    <w:rsidRoot w:val="00DF27A0"/>
    <w:rsid w:val="00000544"/>
    <w:rsid w:val="00000765"/>
    <w:rsid w:val="00006BBF"/>
    <w:rsid w:val="00010ACA"/>
    <w:rsid w:val="00011799"/>
    <w:rsid w:val="000148D5"/>
    <w:rsid w:val="00014BE8"/>
    <w:rsid w:val="0002056A"/>
    <w:rsid w:val="000279EA"/>
    <w:rsid w:val="000317D4"/>
    <w:rsid w:val="00033464"/>
    <w:rsid w:val="0003420F"/>
    <w:rsid w:val="0004372A"/>
    <w:rsid w:val="00043B90"/>
    <w:rsid w:val="000459F6"/>
    <w:rsid w:val="00046350"/>
    <w:rsid w:val="00047457"/>
    <w:rsid w:val="00047F14"/>
    <w:rsid w:val="000528FD"/>
    <w:rsid w:val="00056A54"/>
    <w:rsid w:val="00057A1B"/>
    <w:rsid w:val="00063DF9"/>
    <w:rsid w:val="000655B9"/>
    <w:rsid w:val="00065D2F"/>
    <w:rsid w:val="00071C4F"/>
    <w:rsid w:val="0007364A"/>
    <w:rsid w:val="00074EC4"/>
    <w:rsid w:val="00075F52"/>
    <w:rsid w:val="00082E91"/>
    <w:rsid w:val="00090F73"/>
    <w:rsid w:val="000937B3"/>
    <w:rsid w:val="00094EE1"/>
    <w:rsid w:val="00097B67"/>
    <w:rsid w:val="000A09C9"/>
    <w:rsid w:val="000A149D"/>
    <w:rsid w:val="000A1CE1"/>
    <w:rsid w:val="000A3ABC"/>
    <w:rsid w:val="000A5841"/>
    <w:rsid w:val="000B1E1E"/>
    <w:rsid w:val="000B1EAD"/>
    <w:rsid w:val="000B20C1"/>
    <w:rsid w:val="000B698E"/>
    <w:rsid w:val="000C1B53"/>
    <w:rsid w:val="000C2B03"/>
    <w:rsid w:val="000C5655"/>
    <w:rsid w:val="000D380C"/>
    <w:rsid w:val="000D5439"/>
    <w:rsid w:val="000D724F"/>
    <w:rsid w:val="000E0F8B"/>
    <w:rsid w:val="000F12D9"/>
    <w:rsid w:val="000F141D"/>
    <w:rsid w:val="000F37A0"/>
    <w:rsid w:val="00101AD0"/>
    <w:rsid w:val="00102C3D"/>
    <w:rsid w:val="001039DE"/>
    <w:rsid w:val="0011094C"/>
    <w:rsid w:val="00112914"/>
    <w:rsid w:val="00114C52"/>
    <w:rsid w:val="00125BC9"/>
    <w:rsid w:val="001261B9"/>
    <w:rsid w:val="00126A18"/>
    <w:rsid w:val="00126B31"/>
    <w:rsid w:val="00135849"/>
    <w:rsid w:val="00140011"/>
    <w:rsid w:val="00142ABA"/>
    <w:rsid w:val="00142E05"/>
    <w:rsid w:val="0014326C"/>
    <w:rsid w:val="00143343"/>
    <w:rsid w:val="00145AEB"/>
    <w:rsid w:val="001478E7"/>
    <w:rsid w:val="0015462F"/>
    <w:rsid w:val="00154C1D"/>
    <w:rsid w:val="00157A7C"/>
    <w:rsid w:val="00164E76"/>
    <w:rsid w:val="00172FB9"/>
    <w:rsid w:val="00175D85"/>
    <w:rsid w:val="00176BB8"/>
    <w:rsid w:val="00177EDB"/>
    <w:rsid w:val="001818BA"/>
    <w:rsid w:val="001819C8"/>
    <w:rsid w:val="00185413"/>
    <w:rsid w:val="001860D2"/>
    <w:rsid w:val="00191026"/>
    <w:rsid w:val="001916F2"/>
    <w:rsid w:val="001935F2"/>
    <w:rsid w:val="0019426C"/>
    <w:rsid w:val="00196A90"/>
    <w:rsid w:val="001A4972"/>
    <w:rsid w:val="001A72F6"/>
    <w:rsid w:val="001B25C2"/>
    <w:rsid w:val="001C0D05"/>
    <w:rsid w:val="001C1EF2"/>
    <w:rsid w:val="001C227E"/>
    <w:rsid w:val="001C26C0"/>
    <w:rsid w:val="001C3F3E"/>
    <w:rsid w:val="001C5664"/>
    <w:rsid w:val="001C5751"/>
    <w:rsid w:val="001D16C9"/>
    <w:rsid w:val="001D32C3"/>
    <w:rsid w:val="001D3D12"/>
    <w:rsid w:val="001D47B3"/>
    <w:rsid w:val="001D521A"/>
    <w:rsid w:val="001D60D0"/>
    <w:rsid w:val="001D7C56"/>
    <w:rsid w:val="001E0E2C"/>
    <w:rsid w:val="001E0FB4"/>
    <w:rsid w:val="001E3A30"/>
    <w:rsid w:val="001E51F0"/>
    <w:rsid w:val="001E68A5"/>
    <w:rsid w:val="001E6D7B"/>
    <w:rsid w:val="001F1380"/>
    <w:rsid w:val="001F796A"/>
    <w:rsid w:val="00204B7B"/>
    <w:rsid w:val="00210618"/>
    <w:rsid w:val="002134EB"/>
    <w:rsid w:val="00222016"/>
    <w:rsid w:val="00224C34"/>
    <w:rsid w:val="00227C45"/>
    <w:rsid w:val="00232F65"/>
    <w:rsid w:val="00235E31"/>
    <w:rsid w:val="002435AB"/>
    <w:rsid w:val="00247D2D"/>
    <w:rsid w:val="00247DE7"/>
    <w:rsid w:val="002508AC"/>
    <w:rsid w:val="00251667"/>
    <w:rsid w:val="00252B7F"/>
    <w:rsid w:val="00254642"/>
    <w:rsid w:val="0025635F"/>
    <w:rsid w:val="00256DD6"/>
    <w:rsid w:val="00260BAE"/>
    <w:rsid w:val="00262A9B"/>
    <w:rsid w:val="00265141"/>
    <w:rsid w:val="00265BCF"/>
    <w:rsid w:val="00272BB5"/>
    <w:rsid w:val="00273A0D"/>
    <w:rsid w:val="002753D0"/>
    <w:rsid w:val="00276940"/>
    <w:rsid w:val="00276C14"/>
    <w:rsid w:val="00287DE2"/>
    <w:rsid w:val="002A213E"/>
    <w:rsid w:val="002A412E"/>
    <w:rsid w:val="002A5B1E"/>
    <w:rsid w:val="002B05B8"/>
    <w:rsid w:val="002B296E"/>
    <w:rsid w:val="002B3B5A"/>
    <w:rsid w:val="002B640E"/>
    <w:rsid w:val="002B7197"/>
    <w:rsid w:val="002C164C"/>
    <w:rsid w:val="002C23FC"/>
    <w:rsid w:val="002C2FD5"/>
    <w:rsid w:val="002C4A4F"/>
    <w:rsid w:val="002C61EC"/>
    <w:rsid w:val="002C62AB"/>
    <w:rsid w:val="002C6E3A"/>
    <w:rsid w:val="002C7775"/>
    <w:rsid w:val="002D17C3"/>
    <w:rsid w:val="002E0A83"/>
    <w:rsid w:val="002E13D0"/>
    <w:rsid w:val="002E22DD"/>
    <w:rsid w:val="002E3345"/>
    <w:rsid w:val="002E60F9"/>
    <w:rsid w:val="002E72C7"/>
    <w:rsid w:val="002E7894"/>
    <w:rsid w:val="002F09E7"/>
    <w:rsid w:val="002F3B8E"/>
    <w:rsid w:val="002F52B7"/>
    <w:rsid w:val="002F5D3C"/>
    <w:rsid w:val="003012C7"/>
    <w:rsid w:val="00302D26"/>
    <w:rsid w:val="00303BE8"/>
    <w:rsid w:val="00305F6B"/>
    <w:rsid w:val="003072E3"/>
    <w:rsid w:val="003077B3"/>
    <w:rsid w:val="00307900"/>
    <w:rsid w:val="00313D06"/>
    <w:rsid w:val="00323079"/>
    <w:rsid w:val="00325800"/>
    <w:rsid w:val="00325831"/>
    <w:rsid w:val="003337D9"/>
    <w:rsid w:val="0033397F"/>
    <w:rsid w:val="00333F04"/>
    <w:rsid w:val="003415D8"/>
    <w:rsid w:val="003435C5"/>
    <w:rsid w:val="003516C7"/>
    <w:rsid w:val="00354765"/>
    <w:rsid w:val="00355871"/>
    <w:rsid w:val="00357F31"/>
    <w:rsid w:val="00362903"/>
    <w:rsid w:val="00363686"/>
    <w:rsid w:val="00367D57"/>
    <w:rsid w:val="0037026A"/>
    <w:rsid w:val="00374940"/>
    <w:rsid w:val="0038212B"/>
    <w:rsid w:val="003823C7"/>
    <w:rsid w:val="0038376F"/>
    <w:rsid w:val="00390587"/>
    <w:rsid w:val="00393D62"/>
    <w:rsid w:val="00397EC6"/>
    <w:rsid w:val="003A2E56"/>
    <w:rsid w:val="003A51C7"/>
    <w:rsid w:val="003B2F0E"/>
    <w:rsid w:val="003B77B6"/>
    <w:rsid w:val="003C0628"/>
    <w:rsid w:val="003D12C4"/>
    <w:rsid w:val="003D4DB2"/>
    <w:rsid w:val="003E0114"/>
    <w:rsid w:val="003E3AA7"/>
    <w:rsid w:val="003E7D03"/>
    <w:rsid w:val="003E7DFD"/>
    <w:rsid w:val="003F53C3"/>
    <w:rsid w:val="004002A3"/>
    <w:rsid w:val="004008B1"/>
    <w:rsid w:val="00401468"/>
    <w:rsid w:val="00403F39"/>
    <w:rsid w:val="00405A57"/>
    <w:rsid w:val="00406A11"/>
    <w:rsid w:val="00406F5B"/>
    <w:rsid w:val="00410A3D"/>
    <w:rsid w:val="0041576D"/>
    <w:rsid w:val="004213DA"/>
    <w:rsid w:val="004240C4"/>
    <w:rsid w:val="0042411A"/>
    <w:rsid w:val="00424924"/>
    <w:rsid w:val="00426444"/>
    <w:rsid w:val="00427A13"/>
    <w:rsid w:val="004349B4"/>
    <w:rsid w:val="00436087"/>
    <w:rsid w:val="0043649D"/>
    <w:rsid w:val="00436EC5"/>
    <w:rsid w:val="0043725A"/>
    <w:rsid w:val="004376D8"/>
    <w:rsid w:val="00437979"/>
    <w:rsid w:val="00440BBB"/>
    <w:rsid w:val="00440F8E"/>
    <w:rsid w:val="00442F2F"/>
    <w:rsid w:val="00446A4C"/>
    <w:rsid w:val="0044733E"/>
    <w:rsid w:val="004478F1"/>
    <w:rsid w:val="00450BE6"/>
    <w:rsid w:val="00451900"/>
    <w:rsid w:val="00452A30"/>
    <w:rsid w:val="00454B1D"/>
    <w:rsid w:val="0046462B"/>
    <w:rsid w:val="004733D1"/>
    <w:rsid w:val="0048404E"/>
    <w:rsid w:val="00484F4A"/>
    <w:rsid w:val="0049297B"/>
    <w:rsid w:val="00492B80"/>
    <w:rsid w:val="004940E0"/>
    <w:rsid w:val="004959F1"/>
    <w:rsid w:val="004962DC"/>
    <w:rsid w:val="004A10F4"/>
    <w:rsid w:val="004A49BB"/>
    <w:rsid w:val="004B0702"/>
    <w:rsid w:val="004B4539"/>
    <w:rsid w:val="004B4800"/>
    <w:rsid w:val="004B7919"/>
    <w:rsid w:val="004D33FA"/>
    <w:rsid w:val="004D4146"/>
    <w:rsid w:val="004E2718"/>
    <w:rsid w:val="004E2D39"/>
    <w:rsid w:val="004E3AF0"/>
    <w:rsid w:val="004E6CA5"/>
    <w:rsid w:val="004F0CF1"/>
    <w:rsid w:val="004F2BE9"/>
    <w:rsid w:val="004F421B"/>
    <w:rsid w:val="004F5D39"/>
    <w:rsid w:val="004F7B29"/>
    <w:rsid w:val="00501CF7"/>
    <w:rsid w:val="005040FB"/>
    <w:rsid w:val="00506D1C"/>
    <w:rsid w:val="00510AF0"/>
    <w:rsid w:val="00517D7D"/>
    <w:rsid w:val="00520346"/>
    <w:rsid w:val="0052283A"/>
    <w:rsid w:val="00522A8B"/>
    <w:rsid w:val="00525BF4"/>
    <w:rsid w:val="005311D1"/>
    <w:rsid w:val="0053181F"/>
    <w:rsid w:val="0053366A"/>
    <w:rsid w:val="005348E7"/>
    <w:rsid w:val="00535217"/>
    <w:rsid w:val="00536E1E"/>
    <w:rsid w:val="00543D0F"/>
    <w:rsid w:val="005464A7"/>
    <w:rsid w:val="0055334E"/>
    <w:rsid w:val="005554C1"/>
    <w:rsid w:val="00555936"/>
    <w:rsid w:val="00557437"/>
    <w:rsid w:val="0056051E"/>
    <w:rsid w:val="00564871"/>
    <w:rsid w:val="005655E1"/>
    <w:rsid w:val="00574232"/>
    <w:rsid w:val="00580DAE"/>
    <w:rsid w:val="00583017"/>
    <w:rsid w:val="00583209"/>
    <w:rsid w:val="00585F64"/>
    <w:rsid w:val="00586884"/>
    <w:rsid w:val="00587CA7"/>
    <w:rsid w:val="0059027F"/>
    <w:rsid w:val="005A0282"/>
    <w:rsid w:val="005A706A"/>
    <w:rsid w:val="005B0EBD"/>
    <w:rsid w:val="005B5CC1"/>
    <w:rsid w:val="005B7FFE"/>
    <w:rsid w:val="005C11AE"/>
    <w:rsid w:val="005C335E"/>
    <w:rsid w:val="005C73DA"/>
    <w:rsid w:val="005D00F4"/>
    <w:rsid w:val="005D555B"/>
    <w:rsid w:val="005E03F5"/>
    <w:rsid w:val="005E42D8"/>
    <w:rsid w:val="005E6511"/>
    <w:rsid w:val="005E666C"/>
    <w:rsid w:val="005E719D"/>
    <w:rsid w:val="005F1BD1"/>
    <w:rsid w:val="005F2DC6"/>
    <w:rsid w:val="005F375D"/>
    <w:rsid w:val="005F384D"/>
    <w:rsid w:val="00601817"/>
    <w:rsid w:val="006057A1"/>
    <w:rsid w:val="00606644"/>
    <w:rsid w:val="00610CD7"/>
    <w:rsid w:val="006112BE"/>
    <w:rsid w:val="006117EB"/>
    <w:rsid w:val="0061508D"/>
    <w:rsid w:val="006152A4"/>
    <w:rsid w:val="00615FE6"/>
    <w:rsid w:val="00620D7D"/>
    <w:rsid w:val="00621AE8"/>
    <w:rsid w:val="006317F8"/>
    <w:rsid w:val="00632F6A"/>
    <w:rsid w:val="00633DD7"/>
    <w:rsid w:val="00633FD0"/>
    <w:rsid w:val="00642D4E"/>
    <w:rsid w:val="0064477E"/>
    <w:rsid w:val="0064710F"/>
    <w:rsid w:val="00655D88"/>
    <w:rsid w:val="00657F08"/>
    <w:rsid w:val="0066034D"/>
    <w:rsid w:val="0066269F"/>
    <w:rsid w:val="00663EB4"/>
    <w:rsid w:val="00665E4A"/>
    <w:rsid w:val="006710CE"/>
    <w:rsid w:val="006712F5"/>
    <w:rsid w:val="00676079"/>
    <w:rsid w:val="00677833"/>
    <w:rsid w:val="006814C8"/>
    <w:rsid w:val="00682414"/>
    <w:rsid w:val="006936B4"/>
    <w:rsid w:val="006940F7"/>
    <w:rsid w:val="00694333"/>
    <w:rsid w:val="00694802"/>
    <w:rsid w:val="00694D75"/>
    <w:rsid w:val="00697E7A"/>
    <w:rsid w:val="006A344F"/>
    <w:rsid w:val="006A6656"/>
    <w:rsid w:val="006A770B"/>
    <w:rsid w:val="006A7B57"/>
    <w:rsid w:val="006B6546"/>
    <w:rsid w:val="006B75E7"/>
    <w:rsid w:val="006B7A68"/>
    <w:rsid w:val="006B7B6D"/>
    <w:rsid w:val="006C7B96"/>
    <w:rsid w:val="006D35C1"/>
    <w:rsid w:val="006D3AFE"/>
    <w:rsid w:val="006D4556"/>
    <w:rsid w:val="006D46F8"/>
    <w:rsid w:val="006E053F"/>
    <w:rsid w:val="006E07CC"/>
    <w:rsid w:val="006E0C5D"/>
    <w:rsid w:val="006E2F89"/>
    <w:rsid w:val="006E3801"/>
    <w:rsid w:val="006E3B41"/>
    <w:rsid w:val="006F388E"/>
    <w:rsid w:val="006F42E1"/>
    <w:rsid w:val="007001B0"/>
    <w:rsid w:val="007039AE"/>
    <w:rsid w:val="00704F4A"/>
    <w:rsid w:val="00706FBC"/>
    <w:rsid w:val="00711A9E"/>
    <w:rsid w:val="00717E6C"/>
    <w:rsid w:val="007263F3"/>
    <w:rsid w:val="00730037"/>
    <w:rsid w:val="00731A47"/>
    <w:rsid w:val="00740FDE"/>
    <w:rsid w:val="00745294"/>
    <w:rsid w:val="00746661"/>
    <w:rsid w:val="007466D6"/>
    <w:rsid w:val="0074750F"/>
    <w:rsid w:val="00750000"/>
    <w:rsid w:val="007564F1"/>
    <w:rsid w:val="007602A2"/>
    <w:rsid w:val="007612E6"/>
    <w:rsid w:val="00763EFF"/>
    <w:rsid w:val="00770065"/>
    <w:rsid w:val="007713DF"/>
    <w:rsid w:val="00771CF7"/>
    <w:rsid w:val="007733D0"/>
    <w:rsid w:val="007740A2"/>
    <w:rsid w:val="007747D3"/>
    <w:rsid w:val="00775259"/>
    <w:rsid w:val="00777FFE"/>
    <w:rsid w:val="0078001E"/>
    <w:rsid w:val="0078007E"/>
    <w:rsid w:val="00783CE4"/>
    <w:rsid w:val="007A0398"/>
    <w:rsid w:val="007A0E12"/>
    <w:rsid w:val="007A3E45"/>
    <w:rsid w:val="007A6659"/>
    <w:rsid w:val="007B236B"/>
    <w:rsid w:val="007B70D8"/>
    <w:rsid w:val="007C3A57"/>
    <w:rsid w:val="007D0CC3"/>
    <w:rsid w:val="007D3F49"/>
    <w:rsid w:val="007D6A6F"/>
    <w:rsid w:val="007E0707"/>
    <w:rsid w:val="007E1286"/>
    <w:rsid w:val="007E2230"/>
    <w:rsid w:val="007E3252"/>
    <w:rsid w:val="007E580B"/>
    <w:rsid w:val="007E71A9"/>
    <w:rsid w:val="007E7277"/>
    <w:rsid w:val="007E7F7F"/>
    <w:rsid w:val="007F0BE3"/>
    <w:rsid w:val="007F1414"/>
    <w:rsid w:val="007F2B20"/>
    <w:rsid w:val="007F2E57"/>
    <w:rsid w:val="007F3FA0"/>
    <w:rsid w:val="00801658"/>
    <w:rsid w:val="008019C7"/>
    <w:rsid w:val="008070FD"/>
    <w:rsid w:val="0080743D"/>
    <w:rsid w:val="00812869"/>
    <w:rsid w:val="008136A2"/>
    <w:rsid w:val="00815643"/>
    <w:rsid w:val="008157DD"/>
    <w:rsid w:val="00816704"/>
    <w:rsid w:val="00820867"/>
    <w:rsid w:val="0082098F"/>
    <w:rsid w:val="00821D5A"/>
    <w:rsid w:val="00824C11"/>
    <w:rsid w:val="008259A5"/>
    <w:rsid w:val="00831D4E"/>
    <w:rsid w:val="00832954"/>
    <w:rsid w:val="00835252"/>
    <w:rsid w:val="00836020"/>
    <w:rsid w:val="008379DE"/>
    <w:rsid w:val="00837E2C"/>
    <w:rsid w:val="008408F4"/>
    <w:rsid w:val="00841CFF"/>
    <w:rsid w:val="00842061"/>
    <w:rsid w:val="00842669"/>
    <w:rsid w:val="00856BAE"/>
    <w:rsid w:val="008579ED"/>
    <w:rsid w:val="00857A3B"/>
    <w:rsid w:val="0086141A"/>
    <w:rsid w:val="00861936"/>
    <w:rsid w:val="008621D3"/>
    <w:rsid w:val="008628CE"/>
    <w:rsid w:val="00877B03"/>
    <w:rsid w:val="00880D58"/>
    <w:rsid w:val="00884AF6"/>
    <w:rsid w:val="0089219D"/>
    <w:rsid w:val="008A1D1B"/>
    <w:rsid w:val="008A379D"/>
    <w:rsid w:val="008A7564"/>
    <w:rsid w:val="008B325C"/>
    <w:rsid w:val="008B76D1"/>
    <w:rsid w:val="008C3BC7"/>
    <w:rsid w:val="008C3EAE"/>
    <w:rsid w:val="008C6D30"/>
    <w:rsid w:val="008D301F"/>
    <w:rsid w:val="008D455D"/>
    <w:rsid w:val="008D6980"/>
    <w:rsid w:val="008D7B08"/>
    <w:rsid w:val="008E03BE"/>
    <w:rsid w:val="008E08A8"/>
    <w:rsid w:val="008E117D"/>
    <w:rsid w:val="008E341B"/>
    <w:rsid w:val="008F22A3"/>
    <w:rsid w:val="008F2B49"/>
    <w:rsid w:val="008F7F68"/>
    <w:rsid w:val="0090074B"/>
    <w:rsid w:val="00901634"/>
    <w:rsid w:val="00901FC9"/>
    <w:rsid w:val="00902FE4"/>
    <w:rsid w:val="00904955"/>
    <w:rsid w:val="009118A7"/>
    <w:rsid w:val="00912745"/>
    <w:rsid w:val="00915A8A"/>
    <w:rsid w:val="00916F6C"/>
    <w:rsid w:val="00921E90"/>
    <w:rsid w:val="00922E47"/>
    <w:rsid w:val="00923901"/>
    <w:rsid w:val="00923EA7"/>
    <w:rsid w:val="00947B94"/>
    <w:rsid w:val="009516B8"/>
    <w:rsid w:val="0095347D"/>
    <w:rsid w:val="00954F5D"/>
    <w:rsid w:val="0096062F"/>
    <w:rsid w:val="009616ED"/>
    <w:rsid w:val="009619CF"/>
    <w:rsid w:val="00967D08"/>
    <w:rsid w:val="00970FD2"/>
    <w:rsid w:val="0097446D"/>
    <w:rsid w:val="00975C9B"/>
    <w:rsid w:val="0097792F"/>
    <w:rsid w:val="00977A19"/>
    <w:rsid w:val="00981A84"/>
    <w:rsid w:val="00982592"/>
    <w:rsid w:val="009835CD"/>
    <w:rsid w:val="0098483A"/>
    <w:rsid w:val="00992018"/>
    <w:rsid w:val="009A3A4C"/>
    <w:rsid w:val="009A592F"/>
    <w:rsid w:val="009A64BA"/>
    <w:rsid w:val="009A6935"/>
    <w:rsid w:val="009A6E72"/>
    <w:rsid w:val="009B5706"/>
    <w:rsid w:val="009B5D32"/>
    <w:rsid w:val="009C0634"/>
    <w:rsid w:val="009C4A6E"/>
    <w:rsid w:val="009D07D3"/>
    <w:rsid w:val="009D089D"/>
    <w:rsid w:val="009D0E40"/>
    <w:rsid w:val="009D0F71"/>
    <w:rsid w:val="009D254D"/>
    <w:rsid w:val="009D286C"/>
    <w:rsid w:val="009D52DB"/>
    <w:rsid w:val="009D57C5"/>
    <w:rsid w:val="009F1F5D"/>
    <w:rsid w:val="009F4FE2"/>
    <w:rsid w:val="009F67C3"/>
    <w:rsid w:val="00A025EB"/>
    <w:rsid w:val="00A105CD"/>
    <w:rsid w:val="00A11ABF"/>
    <w:rsid w:val="00A147AA"/>
    <w:rsid w:val="00A15A8B"/>
    <w:rsid w:val="00A26FE7"/>
    <w:rsid w:val="00A272C9"/>
    <w:rsid w:val="00A3754E"/>
    <w:rsid w:val="00A501C4"/>
    <w:rsid w:val="00A52A5B"/>
    <w:rsid w:val="00A54DDA"/>
    <w:rsid w:val="00A56D6E"/>
    <w:rsid w:val="00A64096"/>
    <w:rsid w:val="00A70986"/>
    <w:rsid w:val="00A72902"/>
    <w:rsid w:val="00A745FF"/>
    <w:rsid w:val="00A75213"/>
    <w:rsid w:val="00A7663C"/>
    <w:rsid w:val="00A80062"/>
    <w:rsid w:val="00A811D7"/>
    <w:rsid w:val="00A82198"/>
    <w:rsid w:val="00A84133"/>
    <w:rsid w:val="00A87F9F"/>
    <w:rsid w:val="00A92BE4"/>
    <w:rsid w:val="00A93B96"/>
    <w:rsid w:val="00A947E7"/>
    <w:rsid w:val="00AA6EB6"/>
    <w:rsid w:val="00AB1FB6"/>
    <w:rsid w:val="00AC14F2"/>
    <w:rsid w:val="00AC359F"/>
    <w:rsid w:val="00AC66FC"/>
    <w:rsid w:val="00AC7225"/>
    <w:rsid w:val="00AC73BD"/>
    <w:rsid w:val="00AD2BA2"/>
    <w:rsid w:val="00AD64DB"/>
    <w:rsid w:val="00AE0306"/>
    <w:rsid w:val="00AE3C60"/>
    <w:rsid w:val="00AE7CF5"/>
    <w:rsid w:val="00AF10C9"/>
    <w:rsid w:val="00AF1CE8"/>
    <w:rsid w:val="00AF4789"/>
    <w:rsid w:val="00AF6670"/>
    <w:rsid w:val="00AF7581"/>
    <w:rsid w:val="00AF7E5F"/>
    <w:rsid w:val="00B02129"/>
    <w:rsid w:val="00B02214"/>
    <w:rsid w:val="00B025E1"/>
    <w:rsid w:val="00B05D4F"/>
    <w:rsid w:val="00B06880"/>
    <w:rsid w:val="00B1261E"/>
    <w:rsid w:val="00B12B36"/>
    <w:rsid w:val="00B15944"/>
    <w:rsid w:val="00B165B7"/>
    <w:rsid w:val="00B20BF6"/>
    <w:rsid w:val="00B2432A"/>
    <w:rsid w:val="00B26B97"/>
    <w:rsid w:val="00B30070"/>
    <w:rsid w:val="00B30277"/>
    <w:rsid w:val="00B31264"/>
    <w:rsid w:val="00B31865"/>
    <w:rsid w:val="00B35D3E"/>
    <w:rsid w:val="00B37095"/>
    <w:rsid w:val="00B406EB"/>
    <w:rsid w:val="00B47F8F"/>
    <w:rsid w:val="00B51649"/>
    <w:rsid w:val="00B52C23"/>
    <w:rsid w:val="00B52D99"/>
    <w:rsid w:val="00B544B4"/>
    <w:rsid w:val="00B567E0"/>
    <w:rsid w:val="00B57711"/>
    <w:rsid w:val="00B64319"/>
    <w:rsid w:val="00B666EA"/>
    <w:rsid w:val="00B72B25"/>
    <w:rsid w:val="00B74529"/>
    <w:rsid w:val="00B7585A"/>
    <w:rsid w:val="00B75FD6"/>
    <w:rsid w:val="00B767FD"/>
    <w:rsid w:val="00B76E16"/>
    <w:rsid w:val="00B8061A"/>
    <w:rsid w:val="00B912EA"/>
    <w:rsid w:val="00B91D71"/>
    <w:rsid w:val="00BA0B44"/>
    <w:rsid w:val="00BA2091"/>
    <w:rsid w:val="00BA458B"/>
    <w:rsid w:val="00BA632B"/>
    <w:rsid w:val="00BA7DC6"/>
    <w:rsid w:val="00BB0340"/>
    <w:rsid w:val="00BB0840"/>
    <w:rsid w:val="00BB2636"/>
    <w:rsid w:val="00BB46CC"/>
    <w:rsid w:val="00BC4858"/>
    <w:rsid w:val="00BC6F33"/>
    <w:rsid w:val="00BD297A"/>
    <w:rsid w:val="00BD2DAF"/>
    <w:rsid w:val="00BE16F9"/>
    <w:rsid w:val="00BE26BE"/>
    <w:rsid w:val="00BE304D"/>
    <w:rsid w:val="00BE3F5A"/>
    <w:rsid w:val="00BE42F5"/>
    <w:rsid w:val="00BE79EE"/>
    <w:rsid w:val="00BF0198"/>
    <w:rsid w:val="00BF11DA"/>
    <w:rsid w:val="00BF3752"/>
    <w:rsid w:val="00BF5B26"/>
    <w:rsid w:val="00C01EC0"/>
    <w:rsid w:val="00C04267"/>
    <w:rsid w:val="00C11C6E"/>
    <w:rsid w:val="00C1278E"/>
    <w:rsid w:val="00C13CB9"/>
    <w:rsid w:val="00C143CF"/>
    <w:rsid w:val="00C1569E"/>
    <w:rsid w:val="00C15DE0"/>
    <w:rsid w:val="00C1718B"/>
    <w:rsid w:val="00C257E2"/>
    <w:rsid w:val="00C25857"/>
    <w:rsid w:val="00C26260"/>
    <w:rsid w:val="00C26A5F"/>
    <w:rsid w:val="00C276E7"/>
    <w:rsid w:val="00C27E6E"/>
    <w:rsid w:val="00C321FD"/>
    <w:rsid w:val="00C33C6A"/>
    <w:rsid w:val="00C3408E"/>
    <w:rsid w:val="00C367C4"/>
    <w:rsid w:val="00C4003F"/>
    <w:rsid w:val="00C43301"/>
    <w:rsid w:val="00C44061"/>
    <w:rsid w:val="00C51F4E"/>
    <w:rsid w:val="00C52D73"/>
    <w:rsid w:val="00C61373"/>
    <w:rsid w:val="00C61F0B"/>
    <w:rsid w:val="00C670F5"/>
    <w:rsid w:val="00C70B17"/>
    <w:rsid w:val="00C7122D"/>
    <w:rsid w:val="00C71AFD"/>
    <w:rsid w:val="00C77130"/>
    <w:rsid w:val="00C77D6C"/>
    <w:rsid w:val="00C80402"/>
    <w:rsid w:val="00C80C22"/>
    <w:rsid w:val="00C80DB5"/>
    <w:rsid w:val="00C815B4"/>
    <w:rsid w:val="00C833E9"/>
    <w:rsid w:val="00C838D5"/>
    <w:rsid w:val="00C85D4E"/>
    <w:rsid w:val="00C90BED"/>
    <w:rsid w:val="00C92BA0"/>
    <w:rsid w:val="00C93BF6"/>
    <w:rsid w:val="00C961B1"/>
    <w:rsid w:val="00CA28B5"/>
    <w:rsid w:val="00CA2DFC"/>
    <w:rsid w:val="00CA3EF6"/>
    <w:rsid w:val="00CA72EE"/>
    <w:rsid w:val="00CA7A71"/>
    <w:rsid w:val="00CB4041"/>
    <w:rsid w:val="00CB5AF4"/>
    <w:rsid w:val="00CC1B34"/>
    <w:rsid w:val="00CD2541"/>
    <w:rsid w:val="00CD46B7"/>
    <w:rsid w:val="00CE2FEC"/>
    <w:rsid w:val="00CE552D"/>
    <w:rsid w:val="00CE72B8"/>
    <w:rsid w:val="00CE7A9A"/>
    <w:rsid w:val="00CF4ABB"/>
    <w:rsid w:val="00CF52E0"/>
    <w:rsid w:val="00D0013C"/>
    <w:rsid w:val="00D0096E"/>
    <w:rsid w:val="00D01E5D"/>
    <w:rsid w:val="00D03C6D"/>
    <w:rsid w:val="00D048AC"/>
    <w:rsid w:val="00D0496C"/>
    <w:rsid w:val="00D04F0F"/>
    <w:rsid w:val="00D12845"/>
    <w:rsid w:val="00D14375"/>
    <w:rsid w:val="00D163C0"/>
    <w:rsid w:val="00D164F7"/>
    <w:rsid w:val="00D169B3"/>
    <w:rsid w:val="00D17E41"/>
    <w:rsid w:val="00D21C31"/>
    <w:rsid w:val="00D42681"/>
    <w:rsid w:val="00D441B0"/>
    <w:rsid w:val="00D44562"/>
    <w:rsid w:val="00D47470"/>
    <w:rsid w:val="00D52096"/>
    <w:rsid w:val="00D52AC4"/>
    <w:rsid w:val="00D53DF8"/>
    <w:rsid w:val="00D55666"/>
    <w:rsid w:val="00D56BBC"/>
    <w:rsid w:val="00D65360"/>
    <w:rsid w:val="00D67CC6"/>
    <w:rsid w:val="00D71B10"/>
    <w:rsid w:val="00D74808"/>
    <w:rsid w:val="00D765CC"/>
    <w:rsid w:val="00D7673E"/>
    <w:rsid w:val="00D76FEB"/>
    <w:rsid w:val="00D77685"/>
    <w:rsid w:val="00D80966"/>
    <w:rsid w:val="00D8392F"/>
    <w:rsid w:val="00D83A02"/>
    <w:rsid w:val="00D91367"/>
    <w:rsid w:val="00D93001"/>
    <w:rsid w:val="00D94B32"/>
    <w:rsid w:val="00D96AAD"/>
    <w:rsid w:val="00D97792"/>
    <w:rsid w:val="00DA0681"/>
    <w:rsid w:val="00DA1A93"/>
    <w:rsid w:val="00DA4E8A"/>
    <w:rsid w:val="00DB0D2C"/>
    <w:rsid w:val="00DB4666"/>
    <w:rsid w:val="00DB6F9C"/>
    <w:rsid w:val="00DB768D"/>
    <w:rsid w:val="00DB774F"/>
    <w:rsid w:val="00DC0BFB"/>
    <w:rsid w:val="00DC2A0F"/>
    <w:rsid w:val="00DC3097"/>
    <w:rsid w:val="00DC4D64"/>
    <w:rsid w:val="00DD1EF4"/>
    <w:rsid w:val="00DD202B"/>
    <w:rsid w:val="00DD3AE6"/>
    <w:rsid w:val="00DD7176"/>
    <w:rsid w:val="00DE2933"/>
    <w:rsid w:val="00DE38C7"/>
    <w:rsid w:val="00DE3D78"/>
    <w:rsid w:val="00DF27A0"/>
    <w:rsid w:val="00DF530F"/>
    <w:rsid w:val="00DF567B"/>
    <w:rsid w:val="00DF56B3"/>
    <w:rsid w:val="00DF738E"/>
    <w:rsid w:val="00E0147B"/>
    <w:rsid w:val="00E03BFD"/>
    <w:rsid w:val="00E03C44"/>
    <w:rsid w:val="00E058B4"/>
    <w:rsid w:val="00E10AB4"/>
    <w:rsid w:val="00E12166"/>
    <w:rsid w:val="00E142C6"/>
    <w:rsid w:val="00E16A24"/>
    <w:rsid w:val="00E16E26"/>
    <w:rsid w:val="00E2268A"/>
    <w:rsid w:val="00E22DEA"/>
    <w:rsid w:val="00E236A9"/>
    <w:rsid w:val="00E25496"/>
    <w:rsid w:val="00E27C41"/>
    <w:rsid w:val="00E309C2"/>
    <w:rsid w:val="00E31786"/>
    <w:rsid w:val="00E34B33"/>
    <w:rsid w:val="00E35933"/>
    <w:rsid w:val="00E3593B"/>
    <w:rsid w:val="00E36831"/>
    <w:rsid w:val="00E37688"/>
    <w:rsid w:val="00E448CA"/>
    <w:rsid w:val="00E45FD7"/>
    <w:rsid w:val="00E45FD9"/>
    <w:rsid w:val="00E4690E"/>
    <w:rsid w:val="00E50686"/>
    <w:rsid w:val="00E539E4"/>
    <w:rsid w:val="00E53C40"/>
    <w:rsid w:val="00E5434B"/>
    <w:rsid w:val="00E55A98"/>
    <w:rsid w:val="00E57BAD"/>
    <w:rsid w:val="00E66FE5"/>
    <w:rsid w:val="00E7037D"/>
    <w:rsid w:val="00E71253"/>
    <w:rsid w:val="00E77BD7"/>
    <w:rsid w:val="00E97D3F"/>
    <w:rsid w:val="00EA15A8"/>
    <w:rsid w:val="00EA2FBE"/>
    <w:rsid w:val="00EA32C7"/>
    <w:rsid w:val="00EA4FC7"/>
    <w:rsid w:val="00EA7D4F"/>
    <w:rsid w:val="00EA7FD6"/>
    <w:rsid w:val="00EB63A1"/>
    <w:rsid w:val="00EB70DF"/>
    <w:rsid w:val="00EC022E"/>
    <w:rsid w:val="00EC6FEE"/>
    <w:rsid w:val="00EC7202"/>
    <w:rsid w:val="00ED0013"/>
    <w:rsid w:val="00ED107F"/>
    <w:rsid w:val="00ED1EE7"/>
    <w:rsid w:val="00ED5BC4"/>
    <w:rsid w:val="00ED7FA8"/>
    <w:rsid w:val="00EE303F"/>
    <w:rsid w:val="00EE6C88"/>
    <w:rsid w:val="00EE7342"/>
    <w:rsid w:val="00EE7447"/>
    <w:rsid w:val="00EF0875"/>
    <w:rsid w:val="00EF5432"/>
    <w:rsid w:val="00EF7459"/>
    <w:rsid w:val="00F001E2"/>
    <w:rsid w:val="00F07BD4"/>
    <w:rsid w:val="00F10062"/>
    <w:rsid w:val="00F10D58"/>
    <w:rsid w:val="00F14863"/>
    <w:rsid w:val="00F15639"/>
    <w:rsid w:val="00F27191"/>
    <w:rsid w:val="00F2744E"/>
    <w:rsid w:val="00F305CB"/>
    <w:rsid w:val="00F314C5"/>
    <w:rsid w:val="00F3753B"/>
    <w:rsid w:val="00F40720"/>
    <w:rsid w:val="00F43844"/>
    <w:rsid w:val="00F47D48"/>
    <w:rsid w:val="00F51C1E"/>
    <w:rsid w:val="00F54980"/>
    <w:rsid w:val="00F609B0"/>
    <w:rsid w:val="00F60EF7"/>
    <w:rsid w:val="00F644FF"/>
    <w:rsid w:val="00F7453A"/>
    <w:rsid w:val="00F77BAF"/>
    <w:rsid w:val="00F8160D"/>
    <w:rsid w:val="00F8370B"/>
    <w:rsid w:val="00F853FA"/>
    <w:rsid w:val="00F87EC1"/>
    <w:rsid w:val="00F955F9"/>
    <w:rsid w:val="00F95E6A"/>
    <w:rsid w:val="00F96182"/>
    <w:rsid w:val="00FA595D"/>
    <w:rsid w:val="00FA5B51"/>
    <w:rsid w:val="00FA759E"/>
    <w:rsid w:val="00FB25C9"/>
    <w:rsid w:val="00FB261D"/>
    <w:rsid w:val="00FB37B1"/>
    <w:rsid w:val="00FB4B56"/>
    <w:rsid w:val="00FB5CD2"/>
    <w:rsid w:val="00FB7C83"/>
    <w:rsid w:val="00FC3A1B"/>
    <w:rsid w:val="00FC55F3"/>
    <w:rsid w:val="00FC5697"/>
    <w:rsid w:val="00FC5CC0"/>
    <w:rsid w:val="00FC7684"/>
    <w:rsid w:val="00FD1089"/>
    <w:rsid w:val="00FD7302"/>
    <w:rsid w:val="00FE148A"/>
    <w:rsid w:val="00FE1804"/>
    <w:rsid w:val="00FE1F1D"/>
    <w:rsid w:val="00FE29EF"/>
    <w:rsid w:val="00FE5667"/>
    <w:rsid w:val="00FF48EB"/>
    <w:rsid w:val="3F35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7"/>
    <w:qFormat/>
    <w:uiPriority w:val="0"/>
    <w:pPr>
      <w:widowControl/>
      <w:spacing w:before="100" w:beforeAutospacing="1" w:after="100" w:afterAutospacing="1"/>
      <w:jc w:val="left"/>
      <w:outlineLvl w:val="0"/>
    </w:pPr>
    <w:rPr>
      <w:rFonts w:ascii="宋体" w:hAnsi="宋体"/>
      <w:b/>
      <w:bCs/>
      <w:kern w:val="36"/>
      <w:sz w:val="48"/>
      <w:szCs w:val="48"/>
      <w:lang w:val="zh-CN" w:eastAsia="zh-CN"/>
    </w:rPr>
  </w:style>
  <w:style w:type="character" w:default="1" w:styleId="10">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ocument Map"/>
    <w:basedOn w:val="1"/>
    <w:link w:val="15"/>
    <w:semiHidden/>
    <w:uiPriority w:val="0"/>
    <w:rPr>
      <w:rFonts w:ascii="宋体"/>
      <w:kern w:val="0"/>
      <w:sz w:val="18"/>
      <w:szCs w:val="18"/>
      <w:lang w:val="zh-CN" w:eastAsia="zh-CN"/>
    </w:rPr>
  </w:style>
  <w:style w:type="paragraph" w:styleId="4">
    <w:name w:val="Balloon Text"/>
    <w:basedOn w:val="1"/>
    <w:link w:val="16"/>
    <w:semiHidden/>
    <w:uiPriority w:val="0"/>
    <w:rPr>
      <w:kern w:val="0"/>
      <w:sz w:val="18"/>
      <w:szCs w:val="18"/>
      <w:lang w:val="zh-CN" w:eastAsia="zh-CN"/>
    </w:rPr>
  </w:style>
  <w:style w:type="paragraph" w:styleId="5">
    <w:name w:val="footer"/>
    <w:basedOn w:val="1"/>
    <w:link w:val="13"/>
    <w:uiPriority w:val="99"/>
    <w:pPr>
      <w:tabs>
        <w:tab w:val="center" w:pos="4153"/>
        <w:tab w:val="right" w:pos="8306"/>
      </w:tabs>
      <w:snapToGrid w:val="0"/>
      <w:jc w:val="left"/>
    </w:pPr>
    <w:rPr>
      <w:kern w:val="0"/>
      <w:sz w:val="18"/>
      <w:szCs w:val="18"/>
      <w:lang w:val="zh-CN" w:eastAsia="zh-CN"/>
    </w:rPr>
  </w:style>
  <w:style w:type="paragraph" w:styleId="6">
    <w:name w:val="header"/>
    <w:basedOn w:val="1"/>
    <w:link w:val="12"/>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uiPriority w:val="0"/>
    <w:rPr>
      <w:color w:val="0000FF"/>
      <w:u w:val="single"/>
    </w:rPr>
  </w:style>
  <w:style w:type="character" w:customStyle="1" w:styleId="12">
    <w:name w:val="页眉 Char"/>
    <w:link w:val="6"/>
    <w:locked/>
    <w:uiPriority w:val="0"/>
    <w:rPr>
      <w:rFonts w:cs="Times New Roman"/>
      <w:sz w:val="18"/>
      <w:szCs w:val="18"/>
    </w:rPr>
  </w:style>
  <w:style w:type="character" w:customStyle="1" w:styleId="13">
    <w:name w:val="页脚 Char"/>
    <w:link w:val="5"/>
    <w:locked/>
    <w:uiPriority w:val="0"/>
    <w:rPr>
      <w:rFonts w:cs="Times New Roman"/>
      <w:sz w:val="18"/>
      <w:szCs w:val="18"/>
    </w:rPr>
  </w:style>
  <w:style w:type="paragraph" w:customStyle="1" w:styleId="14">
    <w:name w:val="列出段落1"/>
    <w:basedOn w:val="1"/>
    <w:uiPriority w:val="0"/>
    <w:pPr>
      <w:ind w:firstLine="420" w:firstLineChars="200"/>
    </w:pPr>
  </w:style>
  <w:style w:type="character" w:customStyle="1" w:styleId="15">
    <w:name w:val="文档结构图 Char"/>
    <w:link w:val="3"/>
    <w:semiHidden/>
    <w:locked/>
    <w:uiPriority w:val="0"/>
    <w:rPr>
      <w:rFonts w:ascii="宋体" w:eastAsia="宋体" w:cs="Times New Roman"/>
      <w:sz w:val="18"/>
      <w:szCs w:val="18"/>
    </w:rPr>
  </w:style>
  <w:style w:type="character" w:customStyle="1" w:styleId="16">
    <w:name w:val="批注框文本 Char"/>
    <w:link w:val="4"/>
    <w:semiHidden/>
    <w:locked/>
    <w:uiPriority w:val="0"/>
    <w:rPr>
      <w:rFonts w:cs="Times New Roman"/>
      <w:sz w:val="18"/>
      <w:szCs w:val="18"/>
    </w:rPr>
  </w:style>
  <w:style w:type="character" w:customStyle="1" w:styleId="17">
    <w:name w:val="标题 1 Char"/>
    <w:link w:val="2"/>
    <w:locked/>
    <w:uiPriority w:val="0"/>
    <w:rPr>
      <w:rFonts w:ascii="宋体" w:hAnsi="宋体" w:eastAsia="宋体" w:cs="宋体"/>
      <w:b/>
      <w:bCs/>
      <w:kern w:val="36"/>
      <w:sz w:val="48"/>
      <w:szCs w:val="48"/>
    </w:rPr>
  </w:style>
  <w:style w:type="paragraph" w:styleId="18">
    <w:name w:val="List Paragraph"/>
    <w:basedOn w:val="1"/>
    <w:qFormat/>
    <w:uiPriority w:val="34"/>
    <w:pPr>
      <w:ind w:firstLine="420" w:firstLineChars="200"/>
    </w:pPr>
    <w:rPr>
      <w:rFonts w:ascii="Times New Roman" w:hAnsi="Times New Roman" w:eastAsia="仿宋_GB2312"/>
      <w:sz w:val="32"/>
      <w:szCs w:val="24"/>
    </w:rPr>
  </w:style>
  <w:style w:type="paragraph" w:customStyle="1" w:styleId="19">
    <w:name w:val="p_text_indent_2"/>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0">
    <w:name w:val="页脚 字符"/>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FC91-2174-4233-A045-80FA5A54AD5A}">
  <ds:schemaRefs/>
</ds:datastoreItem>
</file>

<file path=docProps/app.xml><?xml version="1.0" encoding="utf-8"?>
<Properties xmlns="http://schemas.openxmlformats.org/officeDocument/2006/extended-properties" xmlns:vt="http://schemas.openxmlformats.org/officeDocument/2006/docPropsVTypes">
  <Template>Normal</Template>
  <Company>上海建桥（集团）有限公司文件</Company>
  <Pages>4</Pages>
  <Words>310</Words>
  <Characters>1769</Characters>
  <Lines>14</Lines>
  <Paragraphs>4</Paragraphs>
  <TotalTime>113</TotalTime>
  <ScaleCrop>false</ScaleCrop>
  <LinksUpToDate>false</LinksUpToDate>
  <CharactersWithSpaces>2075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公文</cp:category>
  <dcterms:created xsi:type="dcterms:W3CDTF">2022-03-25T10:32:00Z</dcterms:created>
  <dc:creator>上海建桥（集团）有限公司</dc:creator>
  <cp:lastModifiedBy>Administrator</cp:lastModifiedBy>
  <cp:lastPrinted>2018-07-05T01:24:00Z</cp:lastPrinted>
  <dcterms:modified xsi:type="dcterms:W3CDTF">2024-04-01T02:32:07Z</dcterms:modified>
  <dc:subject>上海建桥（集团）有限公司文件</dc:subject>
  <dc:title>中华人民共和国第十二届学生运动会筹备委员会</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9E6A12E1FABD4DC8BF12CAF34FF7FCD7_13</vt:lpwstr>
  </property>
</Properties>
</file>