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7AB8E">
      <w:pPr>
        <w:rPr>
          <w:rFonts w:hint="eastAsia" w:ascii="仿宋" w:hAnsi="仿宋" w:eastAsia="仿宋" w:cs="仿宋"/>
          <w:sz w:val="24"/>
          <w:szCs w:val="24"/>
          <w:lang w:eastAsia="zh-CN"/>
        </w:rPr>
      </w:pPr>
    </w:p>
    <w:p w14:paraId="16FDA72F">
      <w:pPr>
        <w:rPr>
          <w:rFonts w:hint="eastAsia" w:ascii="仿宋" w:hAnsi="仿宋" w:eastAsia="仿宋" w:cs="仿宋"/>
          <w:sz w:val="24"/>
          <w:szCs w:val="24"/>
          <w:lang w:eastAsia="zh-CN"/>
        </w:rPr>
      </w:pPr>
    </w:p>
    <w:p w14:paraId="6A1DBD29">
      <w:pPr>
        <w:rPr>
          <w:rFonts w:hint="eastAsia" w:ascii="仿宋" w:hAnsi="仿宋" w:eastAsia="仿宋" w:cs="仿宋"/>
          <w:sz w:val="24"/>
          <w:szCs w:val="24"/>
          <w:lang w:eastAsia="zh-CN"/>
        </w:rPr>
      </w:pPr>
      <w:bookmarkStart w:id="0" w:name="_GoBack"/>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1</w:t>
      </w:r>
    </w:p>
    <w:p w14:paraId="6C096C38">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p>
    <w:p w14:paraId="41797800">
      <w:pPr>
        <w:keepNext w:val="0"/>
        <w:keepLines w:val="0"/>
        <w:pageBreakBefore w:val="0"/>
        <w:wordWrap/>
        <w:overflowPunct/>
        <w:topLinePunct w:val="0"/>
        <w:bidi w:val="0"/>
        <w:spacing w:line="360" w:lineRule="auto"/>
        <w:ind w:firstLine="562" w:firstLineChars="200"/>
        <w:jc w:val="cente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上海建桥学院大学生职业规划大赛成长赛道方案</w:t>
      </w:r>
    </w:p>
    <w:bookmarkEnd w:id="0"/>
    <w:p w14:paraId="4F5B021A">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p>
    <w:p w14:paraId="7E268F99">
      <w:pPr>
        <w:keepNext w:val="0"/>
        <w:keepLines w:val="0"/>
        <w:pageBreakBefore w:val="0"/>
        <w:wordWrap/>
        <w:overflowPunct/>
        <w:topLinePunct w:val="0"/>
        <w:bidi w:val="0"/>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一、比赛内容</w:t>
      </w:r>
    </w:p>
    <w:p w14:paraId="300F0598">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成长赛道考察学生职业发展规划的科学性和围绕实现职业目标的成长过程，通过学习实践持续提升职业目标的达成度，增强综合素质和能力。</w:t>
      </w:r>
    </w:p>
    <w:p w14:paraId="5EBE3635">
      <w:pPr>
        <w:keepNext w:val="0"/>
        <w:keepLines w:val="0"/>
        <w:pageBreakBefore w:val="0"/>
        <w:wordWrap/>
        <w:overflowPunct/>
        <w:topLinePunct w:val="0"/>
        <w:bidi w:val="0"/>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二、参赛对象</w:t>
      </w:r>
    </w:p>
    <w:p w14:paraId="491F832B">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成长赛道面向本科一、二、三年级学生和</w:t>
      </w:r>
      <w:r>
        <w:rPr>
          <w:rFonts w:hint="eastAsia" w:ascii="仿宋" w:hAnsi="仿宋" w:eastAsia="仿宋" w:cs="仿宋"/>
          <w:sz w:val="24"/>
          <w:szCs w:val="24"/>
          <w:lang w:val="en-US" w:eastAsia="zh-CN"/>
        </w:rPr>
        <w:t>专科</w:t>
      </w:r>
      <w:r>
        <w:rPr>
          <w:rFonts w:hint="eastAsia" w:ascii="仿宋" w:hAnsi="仿宋" w:eastAsia="仿宋" w:cs="仿宋"/>
          <w:sz w:val="24"/>
          <w:szCs w:val="24"/>
          <w:lang w:eastAsia="zh-CN"/>
        </w:rPr>
        <w:t>一、二年级学生。</w:t>
      </w:r>
    </w:p>
    <w:p w14:paraId="00660582">
      <w:pPr>
        <w:keepNext w:val="0"/>
        <w:keepLines w:val="0"/>
        <w:pageBreakBefore w:val="0"/>
        <w:wordWrap/>
        <w:overflowPunct/>
        <w:topLinePunct w:val="0"/>
        <w:bidi w:val="0"/>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三、</w:t>
      </w:r>
      <w:r>
        <w:rPr>
          <w:rFonts w:hint="eastAsia" w:ascii="仿宋" w:hAnsi="仿宋" w:eastAsia="仿宋" w:cs="仿宋"/>
          <w:b/>
          <w:bCs/>
          <w:sz w:val="24"/>
          <w:szCs w:val="24"/>
          <w:lang w:val="en-US" w:eastAsia="zh-CN"/>
        </w:rPr>
        <w:t>比赛报名及</w:t>
      </w:r>
      <w:r>
        <w:rPr>
          <w:rFonts w:hint="eastAsia" w:ascii="仿宋" w:hAnsi="仿宋" w:eastAsia="仿宋" w:cs="仿宋"/>
          <w:b/>
          <w:bCs/>
          <w:sz w:val="24"/>
          <w:szCs w:val="24"/>
          <w:lang w:eastAsia="zh-CN"/>
        </w:rPr>
        <w:t>参赛材料要求</w:t>
      </w:r>
    </w:p>
    <w:p w14:paraId="5D27E707">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学院推荐的</w:t>
      </w:r>
      <w:r>
        <w:rPr>
          <w:rFonts w:hint="eastAsia" w:ascii="仿宋" w:hAnsi="仿宋" w:eastAsia="仿宋" w:cs="仿宋"/>
          <w:sz w:val="24"/>
          <w:szCs w:val="24"/>
          <w:lang w:eastAsia="zh-CN"/>
        </w:rPr>
        <w:t>参赛选手须在全国大学生职业规划大赛平台（网址：zgs.chsi.com.cn）</w:t>
      </w:r>
      <w:r>
        <w:rPr>
          <w:rFonts w:hint="eastAsia" w:ascii="仿宋" w:hAnsi="仿宋" w:eastAsia="仿宋" w:cs="仿宋"/>
          <w:b/>
          <w:bCs/>
          <w:sz w:val="24"/>
          <w:szCs w:val="24"/>
          <w:lang w:eastAsia="zh-CN"/>
        </w:rPr>
        <w:t>报名并提交</w:t>
      </w:r>
      <w:r>
        <w:rPr>
          <w:rFonts w:hint="eastAsia" w:ascii="仿宋" w:hAnsi="仿宋" w:eastAsia="仿宋" w:cs="仿宋"/>
          <w:sz w:val="24"/>
          <w:szCs w:val="24"/>
          <w:lang w:eastAsia="zh-CN"/>
        </w:rPr>
        <w:t>相关材料：</w:t>
      </w:r>
    </w:p>
    <w:p w14:paraId="3CDAFFAF">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（一）生涯发展报告：介绍职业发展规划、实现职业目标的具体</w:t>
      </w:r>
    </w:p>
    <w:p w14:paraId="7D012AE5">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行动和成果（PDF格式，文字不超过1500字，如有图表不超过5张）。</w:t>
      </w:r>
    </w:p>
    <w:p w14:paraId="708CF389">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（二）生涯发展展示（PPT 格式，不超过50MB，可加入视频）。</w:t>
      </w:r>
    </w:p>
    <w:p w14:paraId="5C29A897">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（三）辅助证明材料，包括实践、实习、获奖证明等材料（PDF格式，整合为单个文件，不超过50MB）。</w:t>
      </w:r>
    </w:p>
    <w:p w14:paraId="57E5ADAB">
      <w:pPr>
        <w:keepNext w:val="0"/>
        <w:keepLines w:val="0"/>
        <w:pageBreakBefore w:val="0"/>
        <w:wordWrap/>
        <w:overflowPunct/>
        <w:topLinePunct w:val="0"/>
        <w:bidi w:val="0"/>
        <w:spacing w:line="360" w:lineRule="auto"/>
        <w:ind w:firstLine="482" w:firstLineChars="200"/>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四、</w:t>
      </w:r>
      <w:r>
        <w:rPr>
          <w:rFonts w:hint="eastAsia" w:ascii="仿宋" w:hAnsi="仿宋" w:eastAsia="仿宋" w:cs="仿宋"/>
          <w:b/>
          <w:bCs/>
          <w:sz w:val="24"/>
          <w:szCs w:val="24"/>
          <w:lang w:val="en-US" w:eastAsia="zh-CN"/>
        </w:rPr>
        <w:t>学校</w:t>
      </w:r>
      <w:r>
        <w:rPr>
          <w:rFonts w:hint="eastAsia" w:ascii="仿宋" w:hAnsi="仿宋" w:eastAsia="仿宋" w:cs="仿宋"/>
          <w:b/>
          <w:bCs/>
          <w:sz w:val="24"/>
          <w:szCs w:val="24"/>
          <w:lang w:eastAsia="zh-CN"/>
        </w:rPr>
        <w:t>比赛环节</w:t>
      </w:r>
    </w:p>
    <w:p w14:paraId="598ECA40">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（一）主题陈述（8 分钟）:选手结合生涯发展报告进行陈述和展示。</w:t>
      </w:r>
    </w:p>
    <w:p w14:paraId="4780A159">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（二）评委提问（5 分钟）:评委结合选手陈述和现场表现进行提问。</w:t>
      </w:r>
    </w:p>
    <w:p w14:paraId="19557B18">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评审标准</w:t>
      </w:r>
    </w:p>
    <w:p w14:paraId="523CAD2E">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p>
    <w:tbl>
      <w:tblPr>
        <w:tblStyle w:val="15"/>
        <w:tblW w:w="0" w:type="auto"/>
        <w:tblInd w:w="2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6382"/>
        <w:gridCol w:w="744"/>
      </w:tblGrid>
      <w:tr w14:paraId="37F8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914" w:type="dxa"/>
            <w:noWrap w:val="0"/>
            <w:vAlign w:val="top"/>
          </w:tcPr>
          <w:p w14:paraId="1FC9068B">
            <w:pPr>
              <w:keepNext w:val="0"/>
              <w:keepLines w:val="0"/>
              <w:pageBreakBefore w:val="0"/>
              <w:widowControl w:val="0"/>
              <w:kinsoku/>
              <w:wordWrap/>
              <w:overflowPunct/>
              <w:topLinePunct w:val="0"/>
              <w:autoSpaceDE/>
              <w:autoSpaceDN/>
              <w:bidi w:val="0"/>
              <w:adjustRightInd/>
              <w:snapToGrid/>
              <w:spacing w:line="360" w:lineRule="auto"/>
              <w:ind w:left="188" w:firstLine="0" w:firstLineChars="0"/>
              <w:textAlignment w:val="auto"/>
              <w:rPr>
                <w:rFonts w:hint="eastAsia" w:ascii="仿宋" w:hAnsi="仿宋" w:eastAsia="仿宋" w:cs="仿宋"/>
                <w:sz w:val="24"/>
                <w:szCs w:val="24"/>
              </w:rPr>
            </w:pPr>
            <w:r>
              <w:rPr>
                <w:rFonts w:hint="eastAsia" w:ascii="仿宋" w:hAnsi="仿宋" w:eastAsia="仿宋" w:cs="仿宋"/>
                <w:b/>
                <w:bCs/>
                <w:spacing w:val="-7"/>
                <w:sz w:val="24"/>
                <w:szCs w:val="24"/>
              </w:rPr>
              <w:t>指标</w:t>
            </w:r>
          </w:p>
        </w:tc>
        <w:tc>
          <w:tcPr>
            <w:tcW w:w="6382" w:type="dxa"/>
            <w:noWrap w:val="0"/>
            <w:vAlign w:val="top"/>
          </w:tcPr>
          <w:p w14:paraId="31DDB4C1">
            <w:pPr>
              <w:keepNext w:val="0"/>
              <w:keepLines w:val="0"/>
              <w:pageBreakBefore w:val="0"/>
              <w:widowControl w:val="0"/>
              <w:kinsoku/>
              <w:wordWrap/>
              <w:overflowPunct/>
              <w:topLinePunct w:val="0"/>
              <w:autoSpaceDE/>
              <w:autoSpaceDN/>
              <w:bidi w:val="0"/>
              <w:adjustRightInd/>
              <w:snapToGrid/>
              <w:spacing w:line="360" w:lineRule="auto"/>
              <w:ind w:left="2874" w:firstLine="0" w:firstLineChars="0"/>
              <w:textAlignment w:val="auto"/>
              <w:rPr>
                <w:rFonts w:hint="eastAsia" w:ascii="仿宋" w:hAnsi="仿宋" w:eastAsia="仿宋" w:cs="仿宋"/>
                <w:sz w:val="24"/>
                <w:szCs w:val="24"/>
              </w:rPr>
            </w:pPr>
            <w:r>
              <w:rPr>
                <w:rFonts w:hint="eastAsia" w:ascii="仿宋" w:hAnsi="仿宋" w:eastAsia="仿宋" w:cs="仿宋"/>
                <w:b/>
                <w:bCs/>
                <w:spacing w:val="-10"/>
                <w:sz w:val="24"/>
                <w:szCs w:val="24"/>
              </w:rPr>
              <w:t>说</w:t>
            </w:r>
            <w:r>
              <w:rPr>
                <w:rFonts w:hint="eastAsia" w:ascii="仿宋" w:hAnsi="仿宋" w:eastAsia="仿宋" w:cs="仿宋"/>
                <w:spacing w:val="38"/>
                <w:sz w:val="24"/>
                <w:szCs w:val="24"/>
              </w:rPr>
              <w:t xml:space="preserve"> </w:t>
            </w:r>
            <w:r>
              <w:rPr>
                <w:rFonts w:hint="eastAsia" w:ascii="仿宋" w:hAnsi="仿宋" w:eastAsia="仿宋" w:cs="仿宋"/>
                <w:b/>
                <w:bCs/>
                <w:spacing w:val="-10"/>
                <w:sz w:val="24"/>
                <w:szCs w:val="24"/>
              </w:rPr>
              <w:t>明</w:t>
            </w:r>
          </w:p>
        </w:tc>
        <w:tc>
          <w:tcPr>
            <w:tcW w:w="744" w:type="dxa"/>
            <w:noWrap w:val="0"/>
            <w:vAlign w:val="top"/>
          </w:tcPr>
          <w:p w14:paraId="472ACE60">
            <w:pPr>
              <w:keepNext w:val="0"/>
              <w:keepLines w:val="0"/>
              <w:pageBreakBefore w:val="0"/>
              <w:widowControl w:val="0"/>
              <w:kinsoku/>
              <w:wordWrap/>
              <w:overflowPunct/>
              <w:topLinePunct w:val="0"/>
              <w:autoSpaceDE/>
              <w:autoSpaceDN/>
              <w:bidi w:val="0"/>
              <w:adjustRightInd/>
              <w:snapToGrid/>
              <w:spacing w:line="360" w:lineRule="auto"/>
              <w:ind w:left="112" w:firstLine="0" w:firstLineChars="0"/>
              <w:textAlignment w:val="auto"/>
              <w:rPr>
                <w:rFonts w:hint="eastAsia" w:ascii="仿宋" w:hAnsi="仿宋" w:eastAsia="仿宋" w:cs="仿宋"/>
                <w:sz w:val="24"/>
                <w:szCs w:val="24"/>
              </w:rPr>
            </w:pPr>
            <w:r>
              <w:rPr>
                <w:rFonts w:hint="eastAsia" w:ascii="仿宋" w:hAnsi="仿宋" w:eastAsia="仿宋" w:cs="仿宋"/>
                <w:b/>
                <w:bCs/>
                <w:spacing w:val="-7"/>
                <w:sz w:val="24"/>
                <w:szCs w:val="24"/>
              </w:rPr>
              <w:t>分值</w:t>
            </w:r>
          </w:p>
        </w:tc>
      </w:tr>
      <w:tr w14:paraId="75298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7" w:hRule="atLeast"/>
        </w:trPr>
        <w:tc>
          <w:tcPr>
            <w:tcW w:w="914" w:type="dxa"/>
            <w:noWrap w:val="0"/>
            <w:vAlign w:val="top"/>
          </w:tcPr>
          <w:p w14:paraId="730FF76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p>
          <w:p w14:paraId="613C6A1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p>
          <w:p w14:paraId="086B2DA9">
            <w:pPr>
              <w:keepNext w:val="0"/>
              <w:keepLines w:val="0"/>
              <w:pageBreakBefore w:val="0"/>
              <w:widowControl w:val="0"/>
              <w:kinsoku/>
              <w:wordWrap/>
              <w:overflowPunct/>
              <w:topLinePunct w:val="0"/>
              <w:autoSpaceDE/>
              <w:autoSpaceDN/>
              <w:bidi w:val="0"/>
              <w:adjustRightInd/>
              <w:snapToGrid/>
              <w:spacing w:line="360" w:lineRule="auto"/>
              <w:ind w:left="185" w:firstLine="0" w:firstLineChars="0"/>
              <w:textAlignment w:val="auto"/>
              <w:rPr>
                <w:rFonts w:hint="eastAsia" w:ascii="仿宋" w:hAnsi="仿宋" w:eastAsia="仿宋" w:cs="仿宋"/>
                <w:sz w:val="24"/>
                <w:szCs w:val="24"/>
              </w:rPr>
            </w:pPr>
            <w:r>
              <w:rPr>
                <w:rFonts w:hint="eastAsia" w:ascii="仿宋" w:hAnsi="仿宋" w:eastAsia="仿宋" w:cs="仿宋"/>
                <w:spacing w:val="4"/>
                <w:position w:val="6"/>
                <w:sz w:val="24"/>
                <w:szCs w:val="24"/>
              </w:rPr>
              <w:t>职业</w:t>
            </w:r>
          </w:p>
          <w:p w14:paraId="369226D8">
            <w:pPr>
              <w:keepNext w:val="0"/>
              <w:keepLines w:val="0"/>
              <w:pageBreakBefore w:val="0"/>
              <w:widowControl w:val="0"/>
              <w:kinsoku/>
              <w:wordWrap/>
              <w:overflowPunct/>
              <w:topLinePunct w:val="0"/>
              <w:autoSpaceDE/>
              <w:autoSpaceDN/>
              <w:bidi w:val="0"/>
              <w:adjustRightInd/>
              <w:snapToGrid/>
              <w:spacing w:line="360" w:lineRule="auto"/>
              <w:ind w:left="185" w:firstLine="0" w:firstLineChars="0"/>
              <w:textAlignment w:val="auto"/>
              <w:rPr>
                <w:rFonts w:hint="eastAsia" w:ascii="仿宋" w:hAnsi="仿宋" w:eastAsia="仿宋" w:cs="仿宋"/>
                <w:sz w:val="24"/>
                <w:szCs w:val="24"/>
              </w:rPr>
            </w:pPr>
            <w:r>
              <w:rPr>
                <w:rFonts w:hint="eastAsia" w:ascii="仿宋" w:hAnsi="仿宋" w:eastAsia="仿宋" w:cs="仿宋"/>
                <w:spacing w:val="10"/>
                <w:sz w:val="24"/>
                <w:szCs w:val="24"/>
              </w:rPr>
              <w:t>目标</w:t>
            </w:r>
          </w:p>
        </w:tc>
        <w:tc>
          <w:tcPr>
            <w:tcW w:w="6382" w:type="dxa"/>
            <w:noWrap w:val="0"/>
            <w:vAlign w:val="top"/>
          </w:tcPr>
          <w:p w14:paraId="71424E48">
            <w:pPr>
              <w:keepNext w:val="0"/>
              <w:keepLines w:val="0"/>
              <w:pageBreakBefore w:val="0"/>
              <w:widowControl w:val="0"/>
              <w:kinsoku/>
              <w:wordWrap/>
              <w:overflowPunct/>
              <w:topLinePunct w:val="0"/>
              <w:autoSpaceDE/>
              <w:autoSpaceDN/>
              <w:bidi w:val="0"/>
              <w:adjustRightInd/>
              <w:snapToGrid/>
              <w:spacing w:line="360" w:lineRule="auto"/>
              <w:ind w:left="101" w:right="51"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1.职业目标体现积极正向的价值追求,能够将个人理想</w:t>
            </w:r>
            <w:r>
              <w:rPr>
                <w:rFonts w:hint="eastAsia" w:ascii="仿宋" w:hAnsi="仿宋" w:eastAsia="仿宋" w:cs="仿宋"/>
                <w:spacing w:val="8"/>
                <w:sz w:val="24"/>
                <w:szCs w:val="24"/>
                <w:lang w:eastAsia="zh-CN"/>
              </w:rPr>
              <w:t>与国家需要、经济社会发展相结合。</w:t>
            </w:r>
          </w:p>
          <w:p w14:paraId="126F4BD4">
            <w:pPr>
              <w:keepNext w:val="0"/>
              <w:keepLines w:val="0"/>
              <w:pageBreakBefore w:val="0"/>
              <w:widowControl w:val="0"/>
              <w:kinsoku/>
              <w:wordWrap/>
              <w:overflowPunct/>
              <w:topLinePunct w:val="0"/>
              <w:autoSpaceDE/>
              <w:autoSpaceDN/>
              <w:bidi w:val="0"/>
              <w:adjustRightInd/>
              <w:snapToGrid/>
              <w:spacing w:line="360" w:lineRule="auto"/>
              <w:ind w:left="101"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5"/>
                <w:sz w:val="24"/>
                <w:szCs w:val="24"/>
                <w:lang w:eastAsia="zh-CN"/>
              </w:rPr>
              <w:t>2.职业目标匹配个人价值观、能力优势、兴趣特点。</w:t>
            </w:r>
          </w:p>
          <w:p w14:paraId="30ED412D">
            <w:pPr>
              <w:keepNext w:val="0"/>
              <w:keepLines w:val="0"/>
              <w:pageBreakBefore w:val="0"/>
              <w:widowControl w:val="0"/>
              <w:kinsoku/>
              <w:wordWrap/>
              <w:overflowPunct/>
              <w:topLinePunct w:val="0"/>
              <w:autoSpaceDE/>
              <w:autoSpaceDN/>
              <w:bidi w:val="0"/>
              <w:adjustRightInd/>
              <w:snapToGrid/>
              <w:spacing w:line="360" w:lineRule="auto"/>
              <w:ind w:left="101" w:right="8"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3.准确认识目标职业在专业知识、通用素质、就</w:t>
            </w:r>
            <w:r>
              <w:rPr>
                <w:rFonts w:hint="eastAsia" w:ascii="仿宋" w:hAnsi="仿宋" w:eastAsia="仿宋" w:cs="仿宋"/>
                <w:sz w:val="24"/>
                <w:szCs w:val="24"/>
                <w:lang w:eastAsia="zh-CN"/>
              </w:rPr>
              <w:t>业能力</w:t>
            </w:r>
            <w:r>
              <w:rPr>
                <w:rFonts w:hint="eastAsia" w:ascii="仿宋" w:hAnsi="仿宋" w:eastAsia="仿宋" w:cs="仿宋"/>
                <w:spacing w:val="5"/>
                <w:sz w:val="24"/>
                <w:szCs w:val="24"/>
                <w:lang w:eastAsia="zh-CN"/>
              </w:rPr>
              <w:t>等方面的要求，科学分析个人现实情况与目标要求的</w:t>
            </w:r>
            <w:r>
              <w:rPr>
                <w:rFonts w:hint="eastAsia" w:ascii="仿宋" w:hAnsi="仿宋" w:eastAsia="仿宋" w:cs="仿宋"/>
                <w:spacing w:val="6"/>
                <w:sz w:val="24"/>
                <w:szCs w:val="24"/>
                <w:lang w:eastAsia="zh-CN"/>
              </w:rPr>
              <w:t>差距，制定合理可行的计划。</w:t>
            </w:r>
          </w:p>
        </w:tc>
        <w:tc>
          <w:tcPr>
            <w:tcW w:w="744" w:type="dxa"/>
            <w:noWrap w:val="0"/>
            <w:vAlign w:val="top"/>
          </w:tcPr>
          <w:p w14:paraId="286C00A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64879BA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23E0883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52C4C5EA">
            <w:pPr>
              <w:keepNext w:val="0"/>
              <w:keepLines w:val="0"/>
              <w:pageBreakBefore w:val="0"/>
              <w:widowControl w:val="0"/>
              <w:kinsoku/>
              <w:wordWrap/>
              <w:overflowPunct/>
              <w:topLinePunct w:val="0"/>
              <w:autoSpaceDE/>
              <w:autoSpaceDN/>
              <w:bidi w:val="0"/>
              <w:adjustRightInd/>
              <w:snapToGrid/>
              <w:spacing w:line="360" w:lineRule="auto"/>
              <w:ind w:left="239"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4"/>
                <w:sz w:val="24"/>
                <w:szCs w:val="24"/>
              </w:rPr>
              <w:t>2</w:t>
            </w:r>
            <w:r>
              <w:rPr>
                <w:rFonts w:hint="eastAsia" w:ascii="仿宋" w:hAnsi="仿宋" w:eastAsia="仿宋" w:cs="仿宋"/>
                <w:spacing w:val="-4"/>
                <w:sz w:val="24"/>
                <w:szCs w:val="24"/>
                <w:lang w:eastAsia="zh-CN"/>
              </w:rPr>
              <w:t>5</w:t>
            </w:r>
          </w:p>
        </w:tc>
      </w:tr>
      <w:tr w14:paraId="087D8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7" w:hRule="atLeast"/>
        </w:trPr>
        <w:tc>
          <w:tcPr>
            <w:tcW w:w="914" w:type="dxa"/>
            <w:noWrap w:val="0"/>
            <w:vAlign w:val="top"/>
          </w:tcPr>
          <w:p w14:paraId="025BFA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p>
          <w:p w14:paraId="68AF564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p>
          <w:p w14:paraId="4DFC83CF">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p>
          <w:p w14:paraId="7429411A">
            <w:pPr>
              <w:keepNext w:val="0"/>
              <w:keepLines w:val="0"/>
              <w:pageBreakBefore w:val="0"/>
              <w:widowControl w:val="0"/>
              <w:kinsoku/>
              <w:wordWrap/>
              <w:overflowPunct/>
              <w:topLinePunct w:val="0"/>
              <w:autoSpaceDE/>
              <w:autoSpaceDN/>
              <w:bidi w:val="0"/>
              <w:adjustRightInd/>
              <w:snapToGrid/>
              <w:spacing w:line="360" w:lineRule="auto"/>
              <w:ind w:left="185" w:right="180" w:firstLine="0" w:firstLineChars="0"/>
              <w:textAlignment w:val="auto"/>
              <w:rPr>
                <w:rFonts w:hint="eastAsia" w:ascii="仿宋" w:hAnsi="仿宋" w:eastAsia="仿宋" w:cs="仿宋"/>
                <w:sz w:val="24"/>
                <w:szCs w:val="24"/>
              </w:rPr>
            </w:pPr>
            <w:r>
              <w:rPr>
                <w:rFonts w:hint="eastAsia" w:ascii="仿宋" w:hAnsi="仿宋" w:eastAsia="仿宋" w:cs="仿宋"/>
                <w:spacing w:val="9"/>
                <w:sz w:val="24"/>
                <w:szCs w:val="24"/>
              </w:rPr>
              <w:t>行动</w:t>
            </w:r>
            <w:r>
              <w:rPr>
                <w:rFonts w:hint="eastAsia" w:ascii="仿宋" w:hAnsi="仿宋" w:eastAsia="仿宋" w:cs="仿宋"/>
                <w:sz w:val="24"/>
                <w:szCs w:val="24"/>
              </w:rPr>
              <w:t xml:space="preserve"> </w:t>
            </w:r>
            <w:r>
              <w:rPr>
                <w:rFonts w:hint="eastAsia" w:ascii="仿宋" w:hAnsi="仿宋" w:eastAsia="仿宋" w:cs="仿宋"/>
                <w:spacing w:val="7"/>
                <w:sz w:val="24"/>
                <w:szCs w:val="24"/>
              </w:rPr>
              <w:t>成果</w:t>
            </w:r>
          </w:p>
        </w:tc>
        <w:tc>
          <w:tcPr>
            <w:tcW w:w="6382" w:type="dxa"/>
            <w:noWrap w:val="0"/>
            <w:vAlign w:val="top"/>
          </w:tcPr>
          <w:p w14:paraId="6B8BB937">
            <w:pPr>
              <w:keepNext w:val="0"/>
              <w:keepLines w:val="0"/>
              <w:pageBreakBefore w:val="0"/>
              <w:widowControl w:val="0"/>
              <w:kinsoku/>
              <w:wordWrap/>
              <w:overflowPunct/>
              <w:topLinePunct w:val="0"/>
              <w:autoSpaceDE/>
              <w:autoSpaceDN/>
              <w:bidi w:val="0"/>
              <w:adjustRightInd/>
              <w:snapToGrid/>
              <w:spacing w:line="360" w:lineRule="auto"/>
              <w:ind w:left="101" w:right="21"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1.成长行动符合目标职业在通用素质、就业能力、职业</w:t>
            </w:r>
            <w:r>
              <w:rPr>
                <w:rFonts w:hint="eastAsia" w:ascii="仿宋" w:hAnsi="仿宋" w:eastAsia="仿宋" w:cs="仿宋"/>
                <w:spacing w:val="14"/>
                <w:sz w:val="24"/>
                <w:szCs w:val="24"/>
                <w:lang w:eastAsia="zh-CN"/>
              </w:rPr>
              <w:t>道德等方面的要求。</w:t>
            </w:r>
          </w:p>
          <w:p w14:paraId="5A60E6F6">
            <w:pPr>
              <w:keepNext w:val="0"/>
              <w:keepLines w:val="0"/>
              <w:pageBreakBefore w:val="0"/>
              <w:widowControl w:val="0"/>
              <w:kinsoku/>
              <w:wordWrap/>
              <w:overflowPunct/>
              <w:topLinePunct w:val="0"/>
              <w:autoSpaceDE/>
              <w:autoSpaceDN/>
              <w:bidi w:val="0"/>
              <w:adjustRightInd/>
              <w:snapToGrid/>
              <w:spacing w:line="360" w:lineRule="auto"/>
              <w:ind w:left="101"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6"/>
                <w:sz w:val="24"/>
                <w:szCs w:val="24"/>
                <w:lang w:eastAsia="zh-CN"/>
              </w:rPr>
              <w:t>2.成长行动对弥补个人不足的针对性较强。</w:t>
            </w:r>
          </w:p>
          <w:p w14:paraId="5A8E4031">
            <w:pPr>
              <w:keepNext w:val="0"/>
              <w:keepLines w:val="0"/>
              <w:pageBreakBefore w:val="0"/>
              <w:widowControl w:val="0"/>
              <w:kinsoku/>
              <w:wordWrap/>
              <w:overflowPunct/>
              <w:topLinePunct w:val="0"/>
              <w:autoSpaceDE/>
              <w:autoSpaceDN/>
              <w:bidi w:val="0"/>
              <w:adjustRightInd/>
              <w:snapToGrid/>
              <w:spacing w:line="360" w:lineRule="auto"/>
              <w:ind w:left="101" w:right="58"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4"/>
                <w:sz w:val="24"/>
                <w:szCs w:val="24"/>
                <w:lang w:eastAsia="zh-CN"/>
              </w:rPr>
              <w:t>3.能够将专业知识应用于成长实践,提高通用素质和就业能力</w:t>
            </w:r>
            <w:r>
              <w:rPr>
                <w:rFonts w:hint="eastAsia" w:ascii="仿宋" w:hAnsi="仿宋" w:eastAsia="仿宋" w:cs="仿宋"/>
                <w:spacing w:val="32"/>
                <w:sz w:val="24"/>
                <w:szCs w:val="24"/>
                <w:lang w:eastAsia="zh-CN"/>
              </w:rPr>
              <w:t>。</w:t>
            </w:r>
          </w:p>
          <w:p w14:paraId="1E1FB7D5">
            <w:pPr>
              <w:keepNext w:val="0"/>
              <w:keepLines w:val="0"/>
              <w:pageBreakBefore w:val="0"/>
              <w:widowControl w:val="0"/>
              <w:kinsoku/>
              <w:wordWrap/>
              <w:overflowPunct/>
              <w:topLinePunct w:val="0"/>
              <w:autoSpaceDE/>
              <w:autoSpaceDN/>
              <w:bidi w:val="0"/>
              <w:adjustRightInd/>
              <w:snapToGrid/>
              <w:spacing w:line="360" w:lineRule="auto"/>
              <w:ind w:left="101"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4.成长行动内容丰富，取得阶段性成果。</w:t>
            </w:r>
          </w:p>
        </w:tc>
        <w:tc>
          <w:tcPr>
            <w:tcW w:w="744" w:type="dxa"/>
            <w:noWrap w:val="0"/>
            <w:vAlign w:val="top"/>
          </w:tcPr>
          <w:p w14:paraId="41B78CA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283E5C1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35F8F1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276581A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5675728C">
            <w:pPr>
              <w:keepNext w:val="0"/>
              <w:keepLines w:val="0"/>
              <w:pageBreakBefore w:val="0"/>
              <w:widowControl w:val="0"/>
              <w:kinsoku/>
              <w:wordWrap/>
              <w:overflowPunct/>
              <w:topLinePunct w:val="0"/>
              <w:autoSpaceDE/>
              <w:autoSpaceDN/>
              <w:bidi w:val="0"/>
              <w:adjustRightInd/>
              <w:snapToGrid/>
              <w:spacing w:line="360" w:lineRule="auto"/>
              <w:ind w:left="239"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3"/>
                <w:sz w:val="24"/>
                <w:szCs w:val="24"/>
              </w:rPr>
              <w:t>4</w:t>
            </w:r>
            <w:r>
              <w:rPr>
                <w:rFonts w:hint="eastAsia" w:ascii="仿宋" w:hAnsi="仿宋" w:eastAsia="仿宋" w:cs="仿宋"/>
                <w:spacing w:val="-3"/>
                <w:sz w:val="24"/>
                <w:szCs w:val="24"/>
                <w:lang w:eastAsia="zh-CN"/>
              </w:rPr>
              <w:t>0</w:t>
            </w:r>
          </w:p>
        </w:tc>
      </w:tr>
      <w:tr w14:paraId="02C1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914" w:type="dxa"/>
            <w:noWrap w:val="0"/>
            <w:vAlign w:val="top"/>
          </w:tcPr>
          <w:p w14:paraId="6DD0C8D8">
            <w:pPr>
              <w:keepNext w:val="0"/>
              <w:keepLines w:val="0"/>
              <w:pageBreakBefore w:val="0"/>
              <w:widowControl w:val="0"/>
              <w:kinsoku/>
              <w:wordWrap/>
              <w:overflowPunct/>
              <w:topLinePunct w:val="0"/>
              <w:autoSpaceDE/>
              <w:autoSpaceDN/>
              <w:bidi w:val="0"/>
              <w:adjustRightInd/>
              <w:snapToGrid/>
              <w:spacing w:line="360" w:lineRule="auto"/>
              <w:ind w:left="185" w:firstLine="0" w:firstLineChars="0"/>
              <w:textAlignment w:val="auto"/>
              <w:rPr>
                <w:rFonts w:hint="eastAsia" w:ascii="仿宋" w:hAnsi="仿宋" w:eastAsia="仿宋" w:cs="仿宋"/>
                <w:sz w:val="24"/>
                <w:szCs w:val="24"/>
              </w:rPr>
            </w:pPr>
            <w:r>
              <w:rPr>
                <w:rFonts w:hint="eastAsia" w:ascii="仿宋" w:hAnsi="仿宋" w:eastAsia="仿宋" w:cs="仿宋"/>
                <w:spacing w:val="10"/>
                <w:sz w:val="24"/>
                <w:szCs w:val="24"/>
              </w:rPr>
              <w:t>目标</w:t>
            </w:r>
          </w:p>
          <w:p w14:paraId="4F4760FF">
            <w:pPr>
              <w:keepNext w:val="0"/>
              <w:keepLines w:val="0"/>
              <w:pageBreakBefore w:val="0"/>
              <w:widowControl w:val="0"/>
              <w:kinsoku/>
              <w:wordWrap/>
              <w:overflowPunct/>
              <w:topLinePunct w:val="0"/>
              <w:autoSpaceDE/>
              <w:autoSpaceDN/>
              <w:bidi w:val="0"/>
              <w:adjustRightInd/>
              <w:snapToGrid/>
              <w:spacing w:line="360" w:lineRule="auto"/>
              <w:ind w:left="185" w:firstLine="0" w:firstLineChars="0"/>
              <w:textAlignment w:val="auto"/>
              <w:rPr>
                <w:rFonts w:hint="eastAsia" w:ascii="仿宋" w:hAnsi="仿宋" w:eastAsia="仿宋" w:cs="仿宋"/>
                <w:sz w:val="24"/>
                <w:szCs w:val="24"/>
              </w:rPr>
            </w:pPr>
            <w:r>
              <w:rPr>
                <w:rFonts w:hint="eastAsia" w:ascii="仿宋" w:hAnsi="仿宋" w:eastAsia="仿宋" w:cs="仿宋"/>
                <w:spacing w:val="5"/>
                <w:sz w:val="24"/>
                <w:szCs w:val="24"/>
              </w:rPr>
              <w:t>契合</w:t>
            </w:r>
          </w:p>
          <w:p w14:paraId="7A9872AF">
            <w:pPr>
              <w:keepNext w:val="0"/>
              <w:keepLines w:val="0"/>
              <w:pageBreakBefore w:val="0"/>
              <w:widowControl w:val="0"/>
              <w:kinsoku/>
              <w:wordWrap/>
              <w:overflowPunct/>
              <w:topLinePunct w:val="0"/>
              <w:autoSpaceDE/>
              <w:autoSpaceDN/>
              <w:bidi w:val="0"/>
              <w:adjustRightInd/>
              <w:snapToGrid/>
              <w:spacing w:line="360" w:lineRule="auto"/>
              <w:ind w:left="315"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度</w:t>
            </w:r>
          </w:p>
        </w:tc>
        <w:tc>
          <w:tcPr>
            <w:tcW w:w="6382" w:type="dxa"/>
            <w:noWrap w:val="0"/>
            <w:vAlign w:val="top"/>
          </w:tcPr>
          <w:p w14:paraId="7CE043A6">
            <w:pPr>
              <w:keepNext w:val="0"/>
              <w:keepLines w:val="0"/>
              <w:pageBreakBefore w:val="0"/>
              <w:widowControl w:val="0"/>
              <w:kinsoku/>
              <w:wordWrap/>
              <w:overflowPunct/>
              <w:topLinePunct w:val="0"/>
              <w:autoSpaceDE/>
              <w:autoSpaceDN/>
              <w:bidi w:val="0"/>
              <w:adjustRightInd/>
              <w:snapToGrid/>
              <w:spacing w:line="360" w:lineRule="auto"/>
              <w:ind w:left="101"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7"/>
                <w:sz w:val="24"/>
                <w:szCs w:val="24"/>
                <w:lang w:eastAsia="zh-CN"/>
              </w:rPr>
              <w:t>1.行动成果与职业目标的契合程度。</w:t>
            </w:r>
          </w:p>
          <w:p w14:paraId="51135FE6">
            <w:pPr>
              <w:keepNext w:val="0"/>
              <w:keepLines w:val="0"/>
              <w:pageBreakBefore w:val="0"/>
              <w:widowControl w:val="0"/>
              <w:kinsoku/>
              <w:wordWrap/>
              <w:overflowPunct/>
              <w:topLinePunct w:val="0"/>
              <w:autoSpaceDE/>
              <w:autoSpaceDN/>
              <w:bidi w:val="0"/>
              <w:adjustRightInd/>
              <w:snapToGrid/>
              <w:spacing w:line="360" w:lineRule="auto"/>
              <w:ind w:left="101" w:right="17"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2.总结成长行动中存在的不足和原因，对成长计划进行</w:t>
            </w:r>
            <w:r>
              <w:rPr>
                <w:rFonts w:hint="eastAsia" w:ascii="仿宋" w:hAnsi="仿宋" w:eastAsia="仿宋" w:cs="仿宋"/>
                <w:spacing w:val="8"/>
                <w:sz w:val="24"/>
                <w:szCs w:val="24"/>
                <w:lang w:eastAsia="zh-CN"/>
              </w:rPr>
              <w:t>自我评估和动态调整。</w:t>
            </w:r>
          </w:p>
        </w:tc>
        <w:tc>
          <w:tcPr>
            <w:tcW w:w="744" w:type="dxa"/>
            <w:noWrap w:val="0"/>
            <w:vAlign w:val="top"/>
          </w:tcPr>
          <w:p w14:paraId="51D59AC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3A627214">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lang w:eastAsia="zh-CN"/>
              </w:rPr>
            </w:pPr>
          </w:p>
          <w:p w14:paraId="69CE1BB0">
            <w:pPr>
              <w:keepNext w:val="0"/>
              <w:keepLines w:val="0"/>
              <w:pageBreakBefore w:val="0"/>
              <w:widowControl w:val="0"/>
              <w:kinsoku/>
              <w:wordWrap/>
              <w:overflowPunct/>
              <w:topLinePunct w:val="0"/>
              <w:autoSpaceDE/>
              <w:autoSpaceDN/>
              <w:bidi w:val="0"/>
              <w:adjustRightInd/>
              <w:snapToGrid/>
              <w:spacing w:line="360" w:lineRule="auto"/>
              <w:ind w:left="239" w:firstLine="0" w:firstLineChars="0"/>
              <w:textAlignment w:val="auto"/>
              <w:rPr>
                <w:rFonts w:hint="eastAsia" w:ascii="仿宋" w:hAnsi="仿宋" w:eastAsia="仿宋" w:cs="仿宋"/>
                <w:sz w:val="24"/>
                <w:szCs w:val="24"/>
                <w:lang w:eastAsia="zh-CN"/>
              </w:rPr>
            </w:pPr>
            <w:r>
              <w:rPr>
                <w:rFonts w:hint="eastAsia" w:ascii="仿宋" w:hAnsi="仿宋" w:eastAsia="仿宋" w:cs="仿宋"/>
                <w:spacing w:val="-4"/>
                <w:sz w:val="24"/>
                <w:szCs w:val="24"/>
              </w:rPr>
              <w:t>3</w:t>
            </w:r>
            <w:r>
              <w:rPr>
                <w:rFonts w:hint="eastAsia" w:ascii="仿宋" w:hAnsi="仿宋" w:eastAsia="仿宋" w:cs="仿宋"/>
                <w:spacing w:val="-4"/>
                <w:sz w:val="24"/>
                <w:szCs w:val="24"/>
                <w:lang w:eastAsia="zh-CN"/>
              </w:rPr>
              <w:t>5</w:t>
            </w:r>
          </w:p>
        </w:tc>
      </w:tr>
    </w:tbl>
    <w:p w14:paraId="7D2EFA41">
      <w:pPr>
        <w:keepNext w:val="0"/>
        <w:keepLines w:val="0"/>
        <w:pageBreakBefore w:val="0"/>
        <w:wordWrap/>
        <w:overflowPunct/>
        <w:topLinePunct w:val="0"/>
        <w:bidi w:val="0"/>
        <w:spacing w:line="360" w:lineRule="auto"/>
        <w:ind w:firstLine="482" w:firstLineChars="200"/>
        <w:rPr>
          <w:rFonts w:hint="eastAsia" w:ascii="仿宋" w:hAnsi="仿宋" w:eastAsia="仿宋" w:cs="仿宋"/>
          <w:b/>
          <w:bCs/>
          <w:sz w:val="24"/>
          <w:szCs w:val="24"/>
        </w:rPr>
      </w:pPr>
    </w:p>
    <w:p w14:paraId="5BB1BC46">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奖项设置</w:t>
      </w:r>
    </w:p>
    <w:p w14:paraId="2C06DFF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lang w:eastAsia="zh-CN"/>
        </w:rPr>
        <w:t>成长赛道设</w:t>
      </w:r>
      <w:r>
        <w:rPr>
          <w:rFonts w:hint="eastAsia" w:ascii="仿宋" w:hAnsi="仿宋" w:eastAsia="仿宋" w:cs="仿宋"/>
          <w:sz w:val="24"/>
          <w:szCs w:val="24"/>
          <w:lang w:val="en-US" w:eastAsia="zh-CN"/>
        </w:rPr>
        <w:t>一等奖1</w:t>
      </w:r>
      <w:r>
        <w:rPr>
          <w:rFonts w:hint="eastAsia" w:ascii="仿宋" w:hAnsi="仿宋" w:eastAsia="仿宋" w:cs="仿宋"/>
          <w:sz w:val="24"/>
          <w:szCs w:val="24"/>
          <w:lang w:eastAsia="zh-CN"/>
        </w:rPr>
        <w:t>名，</w:t>
      </w:r>
      <w:r>
        <w:rPr>
          <w:rFonts w:hint="eastAsia" w:ascii="仿宋" w:hAnsi="仿宋" w:eastAsia="仿宋" w:cs="仿宋"/>
          <w:sz w:val="24"/>
          <w:szCs w:val="24"/>
          <w:lang w:val="en-US" w:eastAsia="zh-CN"/>
        </w:rPr>
        <w:t>二等</w:t>
      </w:r>
      <w:r>
        <w:rPr>
          <w:rFonts w:hint="eastAsia" w:ascii="仿宋" w:hAnsi="仿宋" w:eastAsia="仿宋" w:cs="仿宋"/>
          <w:sz w:val="24"/>
          <w:szCs w:val="24"/>
          <w:lang w:eastAsia="zh-CN"/>
        </w:rPr>
        <w:t>奖</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名，</w:t>
      </w:r>
      <w:r>
        <w:rPr>
          <w:rFonts w:hint="eastAsia" w:ascii="仿宋" w:hAnsi="仿宋" w:eastAsia="仿宋" w:cs="仿宋"/>
          <w:sz w:val="24"/>
          <w:szCs w:val="24"/>
          <w:lang w:val="en-US" w:eastAsia="zh-CN"/>
        </w:rPr>
        <w:t>三等奖3</w:t>
      </w:r>
      <w:r>
        <w:rPr>
          <w:rFonts w:hint="eastAsia" w:ascii="仿宋" w:hAnsi="仿宋" w:eastAsia="仿宋" w:cs="仿宋"/>
          <w:sz w:val="24"/>
          <w:szCs w:val="24"/>
          <w:lang w:eastAsia="zh-CN"/>
        </w:rPr>
        <w:t>名，</w:t>
      </w:r>
      <w:r>
        <w:rPr>
          <w:rFonts w:hint="eastAsia" w:ascii="仿宋" w:hAnsi="仿宋" w:eastAsia="仿宋" w:cs="仿宋"/>
          <w:sz w:val="24"/>
          <w:szCs w:val="24"/>
          <w:lang w:val="en-US" w:eastAsia="zh-CN"/>
        </w:rPr>
        <w:t>优胜奖4名。优秀组织奖、</w:t>
      </w:r>
      <w:r>
        <w:rPr>
          <w:rFonts w:hint="eastAsia" w:ascii="仿宋" w:hAnsi="仿宋" w:eastAsia="仿宋" w:cs="仿宋"/>
          <w:sz w:val="24"/>
          <w:szCs w:val="24"/>
          <w:lang w:eastAsia="zh-CN"/>
        </w:rPr>
        <w:t>优秀指导教师奖</w:t>
      </w:r>
      <w:r>
        <w:rPr>
          <w:rFonts w:hint="eastAsia" w:ascii="仿宋" w:hAnsi="仿宋" w:eastAsia="仿宋" w:cs="仿宋"/>
          <w:sz w:val="24"/>
          <w:szCs w:val="24"/>
          <w:lang w:val="en-US" w:eastAsia="zh-CN"/>
        </w:rPr>
        <w:t>若干名</w:t>
      </w:r>
      <w:r>
        <w:rPr>
          <w:rFonts w:hint="eastAsia" w:ascii="仿宋" w:hAnsi="仿宋" w:eastAsia="仿宋" w:cs="仿宋"/>
          <w:sz w:val="24"/>
          <w:szCs w:val="24"/>
          <w:lang w:eastAsia="zh-CN"/>
        </w:rPr>
        <w:t>。</w:t>
      </w:r>
    </w:p>
    <w:p w14:paraId="01847346">
      <w:pPr>
        <w:keepNext w:val="0"/>
        <w:keepLines w:val="0"/>
        <w:pageBreakBefore w:val="0"/>
        <w:numPr>
          <w:ilvl w:val="0"/>
          <w:numId w:val="1"/>
        </w:numPr>
        <w:wordWrap/>
        <w:overflowPunct/>
        <w:topLinePunct w:val="0"/>
        <w:bidi w:val="0"/>
        <w:spacing w:line="360" w:lineRule="auto"/>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上海市赛及全国比赛</w:t>
      </w:r>
    </w:p>
    <w:p w14:paraId="302E997E">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从学校比赛中择优推荐参加上海市赛，学校将统一组织</w:t>
      </w:r>
      <w:r>
        <w:rPr>
          <w:rFonts w:hint="eastAsia" w:ascii="仿宋" w:hAnsi="仿宋" w:eastAsia="仿宋" w:cs="仿宋"/>
          <w:sz w:val="24"/>
          <w:szCs w:val="24"/>
        </w:rPr>
        <w:t>辅导与培训</w:t>
      </w:r>
      <w:r>
        <w:rPr>
          <w:rFonts w:hint="eastAsia" w:ascii="仿宋" w:hAnsi="仿宋" w:eastAsia="仿宋" w:cs="仿宋"/>
          <w:sz w:val="24"/>
          <w:szCs w:val="24"/>
          <w:lang w:val="en-US" w:eastAsia="zh-CN"/>
        </w:rPr>
        <w:t>助力选手成长。</w:t>
      </w:r>
    </w:p>
    <w:p w14:paraId="06E9E831">
      <w:pPr>
        <w:keepNext w:val="0"/>
        <w:keepLines w:val="0"/>
        <w:pageBreakBefore w:val="0"/>
        <w:numPr>
          <w:ilvl w:val="0"/>
          <w:numId w:val="0"/>
        </w:numPr>
        <w:wordWrap/>
        <w:overflowPunct/>
        <w:topLinePunct w:val="0"/>
        <w:bidi w:val="0"/>
        <w:spacing w:line="360" w:lineRule="auto"/>
        <w:rPr>
          <w:rFonts w:hint="eastAsia" w:ascii="仿宋" w:hAnsi="仿宋" w:eastAsia="仿宋" w:cs="仿宋"/>
          <w:b/>
          <w:bCs/>
          <w:sz w:val="24"/>
          <w:szCs w:val="24"/>
          <w:lang w:val="en-US" w:eastAsia="zh-CN"/>
        </w:rPr>
      </w:pPr>
    </w:p>
    <w:p w14:paraId="0216D28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 w:hAnsi="仿宋" w:eastAsia="仿宋" w:cs="仿宋"/>
          <w:sz w:val="24"/>
          <w:szCs w:val="24"/>
        </w:rPr>
      </w:pPr>
      <w:r>
        <w:rPr>
          <w:rFonts w:hint="eastAsia" w:ascii="仿宋" w:hAnsi="仿宋" w:eastAsia="仿宋" w:cs="仿宋"/>
          <w:sz w:val="28"/>
          <w:szCs w:val="28"/>
          <w:lang w:eastAsia="zh-CN"/>
        </w:rPr>
        <w:br w:type="page"/>
      </w:r>
    </w:p>
    <w:p w14:paraId="6D9F2BE4">
      <w:pPr>
        <w:outlineLvl w:val="0"/>
        <w:rPr>
          <w:rFonts w:hint="eastAsia" w:ascii="仿宋" w:hAnsi="仿宋" w:eastAsia="仿宋" w:cs="仿宋"/>
          <w:sz w:val="28"/>
          <w:szCs w:val="28"/>
        </w:rPr>
      </w:pPr>
    </w:p>
    <w:sectPr>
      <w:footerReference r:id="rId3" w:type="default"/>
      <w:pgSz w:w="11906" w:h="16838"/>
      <w:pgMar w:top="1440" w:right="1800" w:bottom="1440" w:left="1800"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951D3">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F09652"/>
    <w:multiLevelType w:val="singleLevel"/>
    <w:tmpl w:val="F2F0965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1"/>
  <w:bordersDoNotSurroundFooter w:val="1"/>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jMGM1MmFjNmZjY2JmNThiYTZjOTk3NGY4NDZiOTIifQ=="/>
  </w:docVars>
  <w:rsids>
    <w:rsidRoot w:val="005B50DB"/>
    <w:rsid w:val="00004355"/>
    <w:rsid w:val="00024907"/>
    <w:rsid w:val="00055850"/>
    <w:rsid w:val="000C226B"/>
    <w:rsid w:val="000F348C"/>
    <w:rsid w:val="000F6A36"/>
    <w:rsid w:val="00106F57"/>
    <w:rsid w:val="00110867"/>
    <w:rsid w:val="00112C10"/>
    <w:rsid w:val="001769BB"/>
    <w:rsid w:val="00182406"/>
    <w:rsid w:val="001875E7"/>
    <w:rsid w:val="001A16F1"/>
    <w:rsid w:val="001C0EE5"/>
    <w:rsid w:val="001C0F96"/>
    <w:rsid w:val="001E4F38"/>
    <w:rsid w:val="001F5455"/>
    <w:rsid w:val="00204AA2"/>
    <w:rsid w:val="002144C9"/>
    <w:rsid w:val="0024371A"/>
    <w:rsid w:val="00245104"/>
    <w:rsid w:val="0025578A"/>
    <w:rsid w:val="00280F2C"/>
    <w:rsid w:val="00286A3E"/>
    <w:rsid w:val="002A2262"/>
    <w:rsid w:val="002A230A"/>
    <w:rsid w:val="002C797C"/>
    <w:rsid w:val="002E1583"/>
    <w:rsid w:val="002F1583"/>
    <w:rsid w:val="003208A9"/>
    <w:rsid w:val="00365B15"/>
    <w:rsid w:val="00374661"/>
    <w:rsid w:val="003850EA"/>
    <w:rsid w:val="003955CF"/>
    <w:rsid w:val="003B21AC"/>
    <w:rsid w:val="003B7AFA"/>
    <w:rsid w:val="003D1C6D"/>
    <w:rsid w:val="003D3AB4"/>
    <w:rsid w:val="003D3B61"/>
    <w:rsid w:val="003D3E3B"/>
    <w:rsid w:val="003D6DDA"/>
    <w:rsid w:val="003E0DEA"/>
    <w:rsid w:val="003F3F77"/>
    <w:rsid w:val="003F543A"/>
    <w:rsid w:val="003F6BF6"/>
    <w:rsid w:val="00412618"/>
    <w:rsid w:val="00415DEE"/>
    <w:rsid w:val="00436AC0"/>
    <w:rsid w:val="0045136B"/>
    <w:rsid w:val="00462FC6"/>
    <w:rsid w:val="004747AC"/>
    <w:rsid w:val="00476BA5"/>
    <w:rsid w:val="004806AD"/>
    <w:rsid w:val="00482ABD"/>
    <w:rsid w:val="00491B0C"/>
    <w:rsid w:val="004B14C9"/>
    <w:rsid w:val="004C0249"/>
    <w:rsid w:val="004D13FC"/>
    <w:rsid w:val="004E06DD"/>
    <w:rsid w:val="004F7C76"/>
    <w:rsid w:val="00534B1D"/>
    <w:rsid w:val="00547E9A"/>
    <w:rsid w:val="00576FD4"/>
    <w:rsid w:val="00593071"/>
    <w:rsid w:val="005B50DB"/>
    <w:rsid w:val="005C228B"/>
    <w:rsid w:val="005C4687"/>
    <w:rsid w:val="005D5E1B"/>
    <w:rsid w:val="005F162B"/>
    <w:rsid w:val="006074F0"/>
    <w:rsid w:val="00624DF5"/>
    <w:rsid w:val="00625FA8"/>
    <w:rsid w:val="006349D9"/>
    <w:rsid w:val="00666322"/>
    <w:rsid w:val="00667B97"/>
    <w:rsid w:val="006852C3"/>
    <w:rsid w:val="00687E2A"/>
    <w:rsid w:val="006B0E65"/>
    <w:rsid w:val="006E401B"/>
    <w:rsid w:val="006E6D45"/>
    <w:rsid w:val="00702C25"/>
    <w:rsid w:val="0070452F"/>
    <w:rsid w:val="00704548"/>
    <w:rsid w:val="00715F08"/>
    <w:rsid w:val="00745286"/>
    <w:rsid w:val="00746BFD"/>
    <w:rsid w:val="00755C45"/>
    <w:rsid w:val="00760FBF"/>
    <w:rsid w:val="00763409"/>
    <w:rsid w:val="0077448D"/>
    <w:rsid w:val="007843A0"/>
    <w:rsid w:val="007918A5"/>
    <w:rsid w:val="00791E72"/>
    <w:rsid w:val="007B461C"/>
    <w:rsid w:val="007D2F6F"/>
    <w:rsid w:val="007D6525"/>
    <w:rsid w:val="00837B25"/>
    <w:rsid w:val="00841831"/>
    <w:rsid w:val="00845F89"/>
    <w:rsid w:val="008671AF"/>
    <w:rsid w:val="0089542A"/>
    <w:rsid w:val="00896677"/>
    <w:rsid w:val="008B4AC1"/>
    <w:rsid w:val="008B6257"/>
    <w:rsid w:val="008B638E"/>
    <w:rsid w:val="0090062F"/>
    <w:rsid w:val="00906540"/>
    <w:rsid w:val="009108B6"/>
    <w:rsid w:val="00947CD3"/>
    <w:rsid w:val="00962FBD"/>
    <w:rsid w:val="00991724"/>
    <w:rsid w:val="009D5141"/>
    <w:rsid w:val="009E0665"/>
    <w:rsid w:val="009E2A7D"/>
    <w:rsid w:val="00A25ED1"/>
    <w:rsid w:val="00A82097"/>
    <w:rsid w:val="00AA4192"/>
    <w:rsid w:val="00AC4AEE"/>
    <w:rsid w:val="00B0523D"/>
    <w:rsid w:val="00B11AD1"/>
    <w:rsid w:val="00B13833"/>
    <w:rsid w:val="00B16E9C"/>
    <w:rsid w:val="00B319E4"/>
    <w:rsid w:val="00B666C0"/>
    <w:rsid w:val="00B849EA"/>
    <w:rsid w:val="00BA20F9"/>
    <w:rsid w:val="00BD31DE"/>
    <w:rsid w:val="00BD37C0"/>
    <w:rsid w:val="00BD3E86"/>
    <w:rsid w:val="00BE7457"/>
    <w:rsid w:val="00C1478C"/>
    <w:rsid w:val="00C17318"/>
    <w:rsid w:val="00C25323"/>
    <w:rsid w:val="00C452CA"/>
    <w:rsid w:val="00C7549E"/>
    <w:rsid w:val="00CA1E95"/>
    <w:rsid w:val="00CA2876"/>
    <w:rsid w:val="00CB5721"/>
    <w:rsid w:val="00CD0A82"/>
    <w:rsid w:val="00CD3591"/>
    <w:rsid w:val="00CE0D73"/>
    <w:rsid w:val="00CF7630"/>
    <w:rsid w:val="00D00718"/>
    <w:rsid w:val="00D21DE3"/>
    <w:rsid w:val="00D23F8B"/>
    <w:rsid w:val="00D32720"/>
    <w:rsid w:val="00D7185A"/>
    <w:rsid w:val="00D849A7"/>
    <w:rsid w:val="00D94DCC"/>
    <w:rsid w:val="00DA7093"/>
    <w:rsid w:val="00DB383E"/>
    <w:rsid w:val="00DD2A48"/>
    <w:rsid w:val="00DE2F16"/>
    <w:rsid w:val="00DF2FD9"/>
    <w:rsid w:val="00E10002"/>
    <w:rsid w:val="00E2520D"/>
    <w:rsid w:val="00E66949"/>
    <w:rsid w:val="00E73A8E"/>
    <w:rsid w:val="00E74F00"/>
    <w:rsid w:val="00EC0EBA"/>
    <w:rsid w:val="00ED219D"/>
    <w:rsid w:val="00ED3BF6"/>
    <w:rsid w:val="00EE56AA"/>
    <w:rsid w:val="00EF69E5"/>
    <w:rsid w:val="00F42AC3"/>
    <w:rsid w:val="00F70063"/>
    <w:rsid w:val="00F70100"/>
    <w:rsid w:val="00FA154A"/>
    <w:rsid w:val="00FA31F9"/>
    <w:rsid w:val="00FB577A"/>
    <w:rsid w:val="00FE259A"/>
    <w:rsid w:val="00FF271F"/>
    <w:rsid w:val="01F56C13"/>
    <w:rsid w:val="077B36ED"/>
    <w:rsid w:val="07D04F34"/>
    <w:rsid w:val="181A5644"/>
    <w:rsid w:val="18B12635"/>
    <w:rsid w:val="1BB76018"/>
    <w:rsid w:val="2378385F"/>
    <w:rsid w:val="24BE3012"/>
    <w:rsid w:val="259869A0"/>
    <w:rsid w:val="25B25F4F"/>
    <w:rsid w:val="2A9A1E2C"/>
    <w:rsid w:val="30347B8C"/>
    <w:rsid w:val="32AC6BA0"/>
    <w:rsid w:val="382D2D8D"/>
    <w:rsid w:val="3A6B3550"/>
    <w:rsid w:val="3B223FD6"/>
    <w:rsid w:val="415E672A"/>
    <w:rsid w:val="45C95632"/>
    <w:rsid w:val="471C0187"/>
    <w:rsid w:val="47E25E3E"/>
    <w:rsid w:val="56E441E7"/>
    <w:rsid w:val="58E34D18"/>
    <w:rsid w:val="60FE6B74"/>
    <w:rsid w:val="6BE97A68"/>
    <w:rsid w:val="70691651"/>
    <w:rsid w:val="7B22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ind w:firstLine="508" w:firstLineChars="158"/>
    </w:pPr>
    <w:rPr>
      <w:b/>
      <w:bCs/>
      <w:sz w:val="32"/>
      <w:szCs w:val="32"/>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styleId="10">
    <w:name w:val="List Paragraph"/>
    <w:basedOn w:val="1"/>
    <w:qFormat/>
    <w:uiPriority w:val="34"/>
    <w:pPr>
      <w:ind w:firstLine="420" w:firstLineChars="200"/>
    </w:pPr>
    <w:rPr>
      <w:rFonts w:ascii="Calibri" w:hAnsi="Calibri"/>
      <w:szCs w:val="22"/>
    </w:rPr>
  </w:style>
  <w:style w:type="paragraph" w:styleId="11">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12">
    <w:name w:val="正文文本缩进 Char"/>
    <w:basedOn w:val="8"/>
    <w:link w:val="2"/>
    <w:qFormat/>
    <w:uiPriority w:val="0"/>
    <w:rPr>
      <w:b/>
      <w:bCs/>
      <w:kern w:val="2"/>
      <w:sz w:val="32"/>
      <w:szCs w:val="32"/>
    </w:rPr>
  </w:style>
  <w:style w:type="character" w:customStyle="1" w:styleId="13">
    <w:name w:val="日期 Char"/>
    <w:basedOn w:val="8"/>
    <w:link w:val="3"/>
    <w:semiHidden/>
    <w:qFormat/>
    <w:uiPriority w:val="99"/>
    <w:rPr>
      <w:kern w:val="2"/>
      <w:sz w:val="21"/>
    </w:rPr>
  </w:style>
  <w:style w:type="character" w:customStyle="1" w:styleId="14">
    <w:name w:val="批注框文本 Char"/>
    <w:basedOn w:val="8"/>
    <w:link w:val="4"/>
    <w:semiHidden/>
    <w:qFormat/>
    <w:uiPriority w:val="99"/>
    <w:rPr>
      <w:kern w:val="2"/>
      <w:sz w:val="18"/>
      <w:szCs w:val="18"/>
    </w:rPr>
  </w:style>
  <w:style w:type="table" w:customStyle="1" w:styleId="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Rar$DIa0.257\&#20844;&#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Template>
  <Company>Microsoft</Company>
  <Pages>3</Pages>
  <Words>2897</Words>
  <Characters>3037</Characters>
  <Lines>17</Lines>
  <Paragraphs>4</Paragraphs>
  <TotalTime>1</TotalTime>
  <ScaleCrop>false</ScaleCrop>
  <LinksUpToDate>false</LinksUpToDate>
  <CharactersWithSpaces>3092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2020-08-26T08:17:00Z</dcterms:created>
  <dc:creator>余梦梦</dc:creator>
  <cp:lastModifiedBy>好想粗去丸</cp:lastModifiedBy>
  <cp:lastPrinted>2018-05-22T10:23:00Z</cp:lastPrinted>
  <dcterms:modified xsi:type="dcterms:W3CDTF">2024-12-22T10:27:21Z</dcterms:modified>
  <dc:title>沪教委〔2001〕号                   签发人：</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F8FAB9031FBE4EEBA56C92671FF17C23_13</vt:lpwstr>
  </property>
</Properties>
</file>