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4E6" w:rsidRPr="00CA1978" w:rsidRDefault="00A324E6" w:rsidP="00A324E6">
      <w:pPr>
        <w:widowControl/>
        <w:rPr>
          <w:rFonts w:ascii="黑体" w:eastAsia="黑体" w:hAnsi="黑体"/>
          <w:sz w:val="32"/>
          <w:szCs w:val="32"/>
        </w:rPr>
      </w:pPr>
      <w:r w:rsidRPr="00CA1978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A324E6" w:rsidRPr="00FF49D8" w:rsidRDefault="00A324E6" w:rsidP="00A324E6">
      <w:pPr>
        <w:spacing w:line="500" w:lineRule="exact"/>
        <w:jc w:val="center"/>
        <w:rPr>
          <w:rFonts w:ascii="方正小标宋简体" w:eastAsia="方正小标宋简体" w:hAnsi="黑体" w:hint="eastAsia"/>
          <w:sz w:val="40"/>
          <w:szCs w:val="40"/>
        </w:rPr>
      </w:pPr>
      <w:bookmarkStart w:id="0" w:name="_Hlk40251925"/>
      <w:r w:rsidRPr="00FF49D8">
        <w:rPr>
          <w:rFonts w:ascii="方正小标宋简体" w:eastAsia="方正小标宋简体" w:hAnsi="黑体" w:hint="eastAsia"/>
          <w:sz w:val="40"/>
          <w:szCs w:val="40"/>
        </w:rPr>
        <w:t>上海建桥学院2022年廉政风险防控检查方案</w:t>
      </w:r>
      <w:bookmarkEnd w:id="0"/>
    </w:p>
    <w:p w:rsidR="00A324E6" w:rsidRPr="00FF49D8" w:rsidRDefault="00A324E6" w:rsidP="00FF49D8">
      <w:pPr>
        <w:spacing w:line="520" w:lineRule="exact"/>
        <w:jc w:val="center"/>
        <w:rPr>
          <w:rFonts w:ascii="仿宋" w:eastAsia="仿宋" w:hAnsi="仿宋" w:hint="eastAsia"/>
          <w:color w:val="000000" w:themeColor="text1"/>
          <w:sz w:val="32"/>
          <w:szCs w:val="32"/>
        </w:rPr>
      </w:pPr>
    </w:p>
    <w:p w:rsidR="00FF49D8" w:rsidRDefault="00FF49D8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为贯彻党中央关于把全面从严治党工作向基层延伸的工作要求，在前期廉政风险防控建设的基础上，学校把廉政风险防控闭环管理纳入学校2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022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年党委重要工作内容。今年是首次进行廉政风险防控工作检查，按照以问题和目标为导向的工作思路，在发现问题、优秀典型事例同时，指导解决问题和总结推动工作，更好地将党风廉政建设与业务工作深度融合。</w:t>
      </w:r>
    </w:p>
    <w:p w:rsidR="00A324E6" w:rsidRPr="00FF49D8" w:rsidRDefault="00A324E6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2021年党委制定了《上海建桥学院党委关于加强廉政风险防控工作的实施意见》，旨在将廉政风险防控延伸到学校治理、业务管理的全方位和全过程。建立了学校廉政风险防控目标、原则、防控对象、防控步骤等框架要求，形成了 “廉政风险防领导小组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—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领导小组办公室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—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职能部门防控主体”三级组织体系，在自上而下和自下而上进行风险调研评估的基础上形成40个中高风险业务的学校风险清单，并完成优化再造业务防控流程，完成管控制度、管控表单的制定和建设。本次检查，是落实廉政风险防控的闭环管理，打通监督检查、整改纠偏的“最后一公里”。通过对4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个业务的廉政风险防控的专项检查评估，促进廉政风险防控工作螺旋式上升。</w:t>
      </w:r>
    </w:p>
    <w:p w:rsidR="00A324E6" w:rsidRPr="00FF49D8" w:rsidRDefault="00A324E6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被检查部门：本年度廉政风险防控检查工作对象有十个职能部门，包括校长办公室、人事组织处、教务处、学生处、科研处、财务处、资产管理处、招生办公室、对外交流办公室和后勤保卫处。</w:t>
      </w:r>
    </w:p>
    <w:p w:rsidR="00A324E6" w:rsidRPr="00FF49D8" w:rsidRDefault="00A324E6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检查内容：主要检查相关部门作为廉政风险防控主体责任的落实情况，包</w:t>
      </w:r>
      <w:r w:rsidR="000663B8"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括部门廉政风险点防控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的对标制度、流程、表单是否完备，实际工作是否遵照执行，管控效果是否达到等。同时调研部门对廉政风险体系建设的意见和建议。其中管控效果（等级制）说明：优秀（90-100分）、良好（80-89分）、一般（70-79分）、不合格（&lt;70分）。</w:t>
      </w:r>
    </w:p>
    <w:p w:rsidR="00A324E6" w:rsidRPr="00FF49D8" w:rsidRDefault="00A324E6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检查时间：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月8日-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月2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日。每个单位巡查具体时间和内审时间相同。</w:t>
      </w:r>
    </w:p>
    <w:p w:rsidR="00A324E6" w:rsidRPr="00FF49D8" w:rsidRDefault="00A324E6" w:rsidP="00FF49D8">
      <w:pPr>
        <w:spacing w:line="52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主要方法：听取职能部门负责人1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分钟简要介绍；查看202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月以来有关资料；与关键岗位人员进行沟通座谈，讨论廉政风险防控工作中遇到的困难和问题，听取对校纪检监察工作的意见和建议。检查时间人员安排和检查打分表详见附件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和附件</w:t>
      </w:r>
      <w:r w:rsidRPr="00FF49D8">
        <w:rPr>
          <w:rFonts w:ascii="仿宋" w:eastAsia="仿宋" w:hAnsi="仿宋"/>
          <w:color w:val="000000" w:themeColor="text1"/>
          <w:sz w:val="32"/>
          <w:szCs w:val="32"/>
        </w:rPr>
        <w:t>3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。</w:t>
      </w:r>
    </w:p>
    <w:p w:rsidR="00A324E6" w:rsidRDefault="00A324E6" w:rsidP="00FF49D8">
      <w:pPr>
        <w:tabs>
          <w:tab w:val="left" w:pos="2745"/>
        </w:tabs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工作要求：坚持以查促建的原则。各职能部门进一步学习《上海建桥学院党委关于加强廉政风险防控工作的实施意见》，对照检查要求，从更高站位和标准做好自查自建，在自查中补短板，在自建中提高工作水平；要把检查压力转化为动力。廉政风险防控领导小组办公室要以检查为契机，做好工作安排，把从严治党要求向基层延伸，在推进党风廉政建设与业务工作的深度融合中，进一步</w:t>
      </w:r>
      <w:r w:rsidR="000663B8"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发挥纪检监督专责的</w:t>
      </w:r>
      <w:r w:rsidRPr="00FF49D8">
        <w:rPr>
          <w:rFonts w:ascii="仿宋" w:eastAsia="仿宋" w:hAnsi="仿宋" w:hint="eastAsia"/>
          <w:color w:val="000000" w:themeColor="text1"/>
          <w:sz w:val="32"/>
          <w:szCs w:val="32"/>
        </w:rPr>
        <w:t>作用。</w:t>
      </w:r>
    </w:p>
    <w:p w:rsidR="00A324E6" w:rsidRDefault="00A324E6" w:rsidP="00A324E6">
      <w:pPr>
        <w:widowControl/>
        <w:jc w:val="left"/>
        <w:rPr>
          <w:rFonts w:ascii="仿宋" w:eastAsia="仿宋" w:hAnsi="仿宋"/>
          <w:sz w:val="32"/>
          <w:szCs w:val="32"/>
        </w:rPr>
      </w:pPr>
    </w:p>
    <w:p w:rsidR="00A324E6" w:rsidRDefault="00A324E6" w:rsidP="00A324E6">
      <w:pPr>
        <w:tabs>
          <w:tab w:val="left" w:pos="2745"/>
        </w:tabs>
        <w:spacing w:line="520" w:lineRule="exact"/>
        <w:rPr>
          <w:rFonts w:ascii="仿宋" w:eastAsia="仿宋" w:hAnsi="仿宋"/>
          <w:sz w:val="32"/>
          <w:szCs w:val="32"/>
        </w:rPr>
      </w:pPr>
    </w:p>
    <w:p w:rsidR="00350873" w:rsidRPr="00A324E6" w:rsidRDefault="005C32E5">
      <w:bookmarkStart w:id="1" w:name="_GoBack"/>
      <w:bookmarkEnd w:id="1"/>
    </w:p>
    <w:sectPr w:rsidR="00350873" w:rsidRPr="00A324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2E5" w:rsidRDefault="005C32E5" w:rsidP="00A324E6">
      <w:r>
        <w:separator/>
      </w:r>
    </w:p>
  </w:endnote>
  <w:endnote w:type="continuationSeparator" w:id="0">
    <w:p w:rsidR="005C32E5" w:rsidRDefault="005C32E5" w:rsidP="00A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2E5" w:rsidRDefault="005C32E5" w:rsidP="00A324E6">
      <w:r>
        <w:separator/>
      </w:r>
    </w:p>
  </w:footnote>
  <w:footnote w:type="continuationSeparator" w:id="0">
    <w:p w:rsidR="005C32E5" w:rsidRDefault="005C32E5" w:rsidP="00A32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3E4"/>
    <w:rsid w:val="000663B8"/>
    <w:rsid w:val="000F5D93"/>
    <w:rsid w:val="0055784F"/>
    <w:rsid w:val="005C32E5"/>
    <w:rsid w:val="00A324E6"/>
    <w:rsid w:val="00A633E4"/>
    <w:rsid w:val="00B6630A"/>
    <w:rsid w:val="00FE7FA1"/>
    <w:rsid w:val="00FF4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03C9A-154D-42C6-9B31-8CCC4953E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4E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24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24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24E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24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Administrator</cp:lastModifiedBy>
  <cp:revision>4</cp:revision>
  <dcterms:created xsi:type="dcterms:W3CDTF">2022-03-04T01:26:00Z</dcterms:created>
  <dcterms:modified xsi:type="dcterms:W3CDTF">2022-03-11T04:17:00Z</dcterms:modified>
</cp:coreProperties>
</file>